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E2" w:rsidRPr="007218A0" w:rsidRDefault="005905E2" w:rsidP="005905E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E2" w:rsidRPr="007218A0" w:rsidRDefault="005905E2" w:rsidP="005905E2">
      <w:pPr>
        <w:pStyle w:val="a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44"/>
        <w:gridCol w:w="4580"/>
      </w:tblGrid>
      <w:tr w:rsidR="005905E2" w:rsidRPr="007218A0" w:rsidTr="0076273B">
        <w:trPr>
          <w:trHeight w:val="1134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5E2" w:rsidRPr="007218A0" w:rsidRDefault="005905E2" w:rsidP="007627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8A0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5905E2" w:rsidRPr="007218A0" w:rsidRDefault="005905E2" w:rsidP="0076273B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218A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5905E2" w:rsidRPr="007218A0" w:rsidTr="0076273B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5F20BF" w:rsidRDefault="005905E2" w:rsidP="00E1701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F20BF">
              <w:rPr>
                <w:rFonts w:ascii="Times New Roman" w:hAnsi="Times New Roman"/>
                <w:sz w:val="26"/>
                <w:szCs w:val="26"/>
              </w:rPr>
              <w:t>«</w:t>
            </w:r>
            <w:r w:rsidR="00E1701C">
              <w:rPr>
                <w:rFonts w:ascii="Times New Roman" w:hAnsi="Times New Roman"/>
                <w:sz w:val="26"/>
                <w:szCs w:val="26"/>
                <w:u w:val="single"/>
              </w:rPr>
              <w:t>13</w:t>
            </w:r>
            <w:r w:rsidRPr="005F20BF">
              <w:rPr>
                <w:rFonts w:ascii="Times New Roman" w:hAnsi="Times New Roman"/>
                <w:sz w:val="26"/>
                <w:szCs w:val="26"/>
              </w:rPr>
              <w:t>»</w:t>
            </w:r>
            <w:r w:rsidR="00FB3C80" w:rsidRPr="005F20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701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декабря </w:t>
            </w:r>
            <w:r w:rsidRPr="005F20BF">
              <w:rPr>
                <w:rFonts w:ascii="Times New Roman" w:hAnsi="Times New Roman"/>
                <w:sz w:val="26"/>
                <w:szCs w:val="26"/>
              </w:rPr>
              <w:t>20</w:t>
            </w:r>
            <w:r w:rsidR="00E43B28" w:rsidRPr="005F20BF">
              <w:rPr>
                <w:rFonts w:ascii="Times New Roman" w:hAnsi="Times New Roman"/>
                <w:sz w:val="26"/>
                <w:szCs w:val="26"/>
              </w:rPr>
              <w:t>1</w:t>
            </w:r>
            <w:r w:rsidR="0067307A" w:rsidRPr="005F20BF">
              <w:rPr>
                <w:rFonts w:ascii="Times New Roman" w:hAnsi="Times New Roman"/>
                <w:sz w:val="26"/>
                <w:szCs w:val="26"/>
              </w:rPr>
              <w:t>8</w:t>
            </w:r>
            <w:r w:rsidRPr="005F20B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5F20BF" w:rsidRDefault="005905E2" w:rsidP="00E1701C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F20BF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E1701C">
              <w:rPr>
                <w:rFonts w:ascii="Times New Roman" w:hAnsi="Times New Roman"/>
                <w:sz w:val="26"/>
                <w:szCs w:val="26"/>
                <w:u w:val="single"/>
              </w:rPr>
              <w:t>429-п</w:t>
            </w:r>
          </w:p>
        </w:tc>
      </w:tr>
      <w:tr w:rsidR="005905E2" w:rsidRPr="007218A0" w:rsidTr="0076273B">
        <w:trPr>
          <w:trHeight w:val="253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76273B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218A0">
              <w:rPr>
                <w:rFonts w:ascii="Times New Roman" w:hAnsi="Times New Roman"/>
              </w:rPr>
              <w:t>гп Северо-Енисейский</w:t>
            </w:r>
          </w:p>
        </w:tc>
      </w:tr>
    </w:tbl>
    <w:p w:rsidR="005905E2" w:rsidRDefault="005905E2" w:rsidP="005905E2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734428" w:rsidRPr="005F20BF" w:rsidRDefault="0067307A" w:rsidP="00E37215">
      <w:pPr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/>
          <w:sz w:val="26"/>
          <w:szCs w:val="26"/>
        </w:rPr>
      </w:pPr>
      <w:r w:rsidRPr="005F20BF">
        <w:rPr>
          <w:rFonts w:ascii="Times New Roman" w:hAnsi="Times New Roman"/>
          <w:sz w:val="26"/>
          <w:szCs w:val="26"/>
        </w:rPr>
        <w:t>О внесении изменений в постановлени</w:t>
      </w:r>
      <w:r w:rsidR="00734428" w:rsidRPr="005F20BF">
        <w:rPr>
          <w:rFonts w:ascii="Times New Roman" w:hAnsi="Times New Roman"/>
          <w:sz w:val="26"/>
          <w:szCs w:val="26"/>
        </w:rPr>
        <w:t>е</w:t>
      </w:r>
      <w:r w:rsidR="00A818AE" w:rsidRPr="005F20BF">
        <w:rPr>
          <w:rFonts w:ascii="Times New Roman" w:hAnsi="Times New Roman"/>
          <w:sz w:val="26"/>
          <w:szCs w:val="26"/>
        </w:rPr>
        <w:t xml:space="preserve">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734428" w:rsidRPr="005F20BF" w:rsidRDefault="00734428" w:rsidP="00FF199E">
      <w:pPr>
        <w:autoSpaceDE w:val="0"/>
        <w:autoSpaceDN w:val="0"/>
        <w:adjustRightInd w:val="0"/>
        <w:spacing w:after="0" w:line="240" w:lineRule="auto"/>
        <w:ind w:left="-360" w:firstLine="540"/>
        <w:jc w:val="both"/>
        <w:rPr>
          <w:rFonts w:ascii="Times New Roman" w:hAnsi="Times New Roman"/>
          <w:sz w:val="26"/>
          <w:szCs w:val="26"/>
        </w:rPr>
      </w:pPr>
    </w:p>
    <w:p w:rsidR="005905E2" w:rsidRPr="005F20BF" w:rsidRDefault="00CF4953" w:rsidP="00C778BD">
      <w:pPr>
        <w:spacing w:after="0" w:line="240" w:lineRule="auto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F20BF">
        <w:rPr>
          <w:rFonts w:ascii="Times New Roman" w:hAnsi="Times New Roman"/>
          <w:sz w:val="26"/>
          <w:szCs w:val="26"/>
        </w:rPr>
        <w:t xml:space="preserve">В целях уточнения </w:t>
      </w:r>
      <w:r w:rsidR="007E1D8F" w:rsidRPr="005F20BF">
        <w:rPr>
          <w:rFonts w:ascii="Times New Roman" w:hAnsi="Times New Roman"/>
          <w:sz w:val="26"/>
          <w:szCs w:val="26"/>
        </w:rPr>
        <w:t>Порядк</w:t>
      </w:r>
      <w:r w:rsidR="00F559B8" w:rsidRPr="005F20BF">
        <w:rPr>
          <w:rFonts w:ascii="Times New Roman" w:hAnsi="Times New Roman"/>
          <w:sz w:val="26"/>
          <w:szCs w:val="26"/>
        </w:rPr>
        <w:t>ов</w:t>
      </w:r>
      <w:r w:rsidR="00EA619C" w:rsidRPr="005F20BF">
        <w:rPr>
          <w:rFonts w:ascii="Times New Roman" w:hAnsi="Times New Roman"/>
          <w:sz w:val="26"/>
          <w:szCs w:val="26"/>
        </w:rPr>
        <w:t xml:space="preserve"> </w:t>
      </w:r>
      <w:r w:rsidR="002F04EB" w:rsidRPr="005F20BF">
        <w:rPr>
          <w:rFonts w:ascii="Times New Roman" w:hAnsi="Times New Roman"/>
          <w:sz w:val="26"/>
          <w:szCs w:val="26"/>
        </w:rPr>
        <w:t>предоставления субсиди</w:t>
      </w:r>
      <w:r w:rsidR="00F559B8" w:rsidRPr="005F20BF">
        <w:rPr>
          <w:rFonts w:ascii="Times New Roman" w:hAnsi="Times New Roman"/>
          <w:sz w:val="26"/>
          <w:szCs w:val="26"/>
        </w:rPr>
        <w:t>й</w:t>
      </w:r>
      <w:r w:rsidR="002F04EB" w:rsidRPr="005F20BF">
        <w:rPr>
          <w:rFonts w:ascii="Times New Roman" w:hAnsi="Times New Roman"/>
          <w:sz w:val="26"/>
          <w:szCs w:val="26"/>
        </w:rPr>
        <w:t>, утвержденн</w:t>
      </w:r>
      <w:r w:rsidR="00F559B8" w:rsidRPr="005F20BF">
        <w:rPr>
          <w:rFonts w:ascii="Times New Roman" w:hAnsi="Times New Roman"/>
          <w:sz w:val="26"/>
          <w:szCs w:val="26"/>
        </w:rPr>
        <w:t>ых</w:t>
      </w:r>
      <w:r w:rsidR="002F04EB" w:rsidRPr="005F20BF">
        <w:rPr>
          <w:rFonts w:ascii="Times New Roman" w:hAnsi="Times New Roman"/>
          <w:sz w:val="26"/>
          <w:szCs w:val="26"/>
        </w:rPr>
        <w:t xml:space="preserve"> подпрограмм</w:t>
      </w:r>
      <w:r w:rsidR="00F559B8" w:rsidRPr="005F20BF">
        <w:rPr>
          <w:rFonts w:ascii="Times New Roman" w:hAnsi="Times New Roman"/>
          <w:sz w:val="26"/>
          <w:szCs w:val="26"/>
        </w:rPr>
        <w:t>ой</w:t>
      </w:r>
      <w:r w:rsidR="002F04EB" w:rsidRPr="005F20BF">
        <w:rPr>
          <w:rFonts w:ascii="Times New Roman" w:hAnsi="Times New Roman"/>
          <w:sz w:val="26"/>
          <w:szCs w:val="26"/>
        </w:rPr>
        <w:t xml:space="preserve"> 3 «Доступность коммунально-бытовых</w:t>
      </w:r>
      <w:r w:rsidR="00F559B8" w:rsidRPr="005F20BF">
        <w:rPr>
          <w:rFonts w:ascii="Times New Roman" w:hAnsi="Times New Roman"/>
          <w:sz w:val="26"/>
          <w:szCs w:val="26"/>
        </w:rPr>
        <w:t xml:space="preserve"> </w:t>
      </w:r>
      <w:r w:rsidR="002F04EB" w:rsidRPr="005F20BF">
        <w:rPr>
          <w:rFonts w:ascii="Times New Roman" w:hAnsi="Times New Roman"/>
          <w:sz w:val="26"/>
          <w:szCs w:val="26"/>
        </w:rPr>
        <w:t xml:space="preserve">услуг для населения Северо-Енисейского района» муниципальной программы «Реформирование и модернизация жилищно-коммунального хозяйства и повышение энергетической эффективности», </w:t>
      </w:r>
      <w:r w:rsidR="005905E2" w:rsidRPr="005F20BF">
        <w:rPr>
          <w:rFonts w:ascii="Times New Roman" w:hAnsi="Times New Roman"/>
          <w:sz w:val="26"/>
          <w:szCs w:val="26"/>
        </w:rPr>
        <w:t>руководствуясь статьей 34 Устава Северо-Енисейского района, ПОСТАНОВЛЯЮ:</w:t>
      </w:r>
    </w:p>
    <w:p w:rsidR="005254A3" w:rsidRPr="005F20BF" w:rsidRDefault="005905E2" w:rsidP="008F0EB0">
      <w:pPr>
        <w:spacing w:after="0" w:line="240" w:lineRule="auto"/>
        <w:ind w:left="-36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5F20BF">
        <w:rPr>
          <w:rFonts w:ascii="Times New Roman" w:hAnsi="Times New Roman"/>
          <w:sz w:val="26"/>
          <w:szCs w:val="26"/>
        </w:rPr>
        <w:t>1.</w:t>
      </w:r>
      <w:r w:rsidR="00CC0CAD" w:rsidRPr="005F20BF">
        <w:rPr>
          <w:rFonts w:ascii="Times New Roman" w:hAnsi="Times New Roman"/>
          <w:sz w:val="26"/>
          <w:szCs w:val="26"/>
        </w:rPr>
        <w:t>Внести в постановление</w:t>
      </w:r>
      <w:r w:rsidR="00EA619C" w:rsidRPr="005F20BF">
        <w:rPr>
          <w:rFonts w:ascii="Times New Roman" w:hAnsi="Times New Roman"/>
          <w:sz w:val="26"/>
          <w:szCs w:val="26"/>
        </w:rPr>
        <w:t xml:space="preserve"> </w:t>
      </w:r>
      <w:r w:rsidR="00CC0CAD" w:rsidRPr="005F20BF">
        <w:rPr>
          <w:rFonts w:ascii="Times New Roman" w:hAnsi="Times New Roman"/>
          <w:sz w:val="26"/>
          <w:szCs w:val="26"/>
        </w:rPr>
        <w:t>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</w:t>
      </w:r>
      <w:r w:rsidR="00D67770" w:rsidRPr="005F20BF">
        <w:rPr>
          <w:rFonts w:ascii="Times New Roman" w:hAnsi="Times New Roman"/>
          <w:sz w:val="26"/>
          <w:szCs w:val="26"/>
        </w:rPr>
        <w:t>»</w:t>
      </w:r>
      <w:r w:rsidR="005F20BF" w:rsidRPr="005F20BF">
        <w:rPr>
          <w:rFonts w:ascii="Times New Roman" w:hAnsi="Times New Roman"/>
          <w:sz w:val="26"/>
          <w:szCs w:val="26"/>
        </w:rPr>
        <w:t xml:space="preserve"> (далее-муниципальная программа)</w:t>
      </w:r>
      <w:r w:rsidR="00D67770" w:rsidRPr="005F20BF">
        <w:rPr>
          <w:rFonts w:ascii="Times New Roman" w:hAnsi="Times New Roman"/>
          <w:sz w:val="26"/>
          <w:szCs w:val="26"/>
        </w:rPr>
        <w:t xml:space="preserve"> (</w:t>
      </w:r>
      <w:r w:rsidR="004C4C30" w:rsidRPr="005F20BF">
        <w:rPr>
          <w:rFonts w:ascii="Times New Roman" w:hAnsi="Times New Roman"/>
          <w:sz w:val="26"/>
          <w:szCs w:val="26"/>
        </w:rPr>
        <w:t xml:space="preserve">действующее </w:t>
      </w:r>
      <w:r w:rsidR="00D67770" w:rsidRPr="005F20BF">
        <w:rPr>
          <w:rFonts w:ascii="Times New Roman" w:hAnsi="Times New Roman"/>
          <w:sz w:val="26"/>
          <w:szCs w:val="26"/>
        </w:rPr>
        <w:t xml:space="preserve">в редакции постановлений администрации Северо-Енисейского района от </w:t>
      </w:r>
      <w:r w:rsidR="004C4C30" w:rsidRPr="005F20BF">
        <w:rPr>
          <w:rFonts w:ascii="Times New Roman" w:hAnsi="Times New Roman"/>
          <w:sz w:val="26"/>
          <w:szCs w:val="26"/>
        </w:rPr>
        <w:t>13.11.2014 №551-п, от 28.11.2014 №587-п, от 22.12.2014 №660-п, от 19.01.2015 №8-п, от 18.02.2015 №42-п, от 14.04.2015</w:t>
      </w:r>
      <w:r w:rsidR="00EA619C" w:rsidRPr="005F20BF">
        <w:rPr>
          <w:rFonts w:ascii="Times New Roman" w:hAnsi="Times New Roman"/>
          <w:sz w:val="26"/>
          <w:szCs w:val="26"/>
        </w:rPr>
        <w:t xml:space="preserve"> </w:t>
      </w:r>
      <w:r w:rsidR="004C4C30" w:rsidRPr="005F20BF">
        <w:rPr>
          <w:rFonts w:ascii="Times New Roman" w:hAnsi="Times New Roman"/>
          <w:sz w:val="26"/>
          <w:szCs w:val="26"/>
        </w:rPr>
        <w:t>№104-п, от 15.05.2015 №159-п, от 23.06.2015 №297-п, от 13.07.2015 №377-п, от</w:t>
      </w:r>
      <w:proofErr w:type="gramEnd"/>
      <w:r w:rsidR="004C4C30" w:rsidRPr="005F20B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C4C30" w:rsidRPr="005F20BF">
        <w:rPr>
          <w:rFonts w:ascii="Times New Roman" w:hAnsi="Times New Roman"/>
          <w:sz w:val="26"/>
          <w:szCs w:val="26"/>
        </w:rPr>
        <w:t>26.08.2015 №508-п, от 28.09.2015 №592-п, от 13.11.2015,</w:t>
      </w:r>
      <w:r w:rsidR="00EA619C" w:rsidRPr="005F20BF">
        <w:rPr>
          <w:rFonts w:ascii="Times New Roman" w:hAnsi="Times New Roman"/>
          <w:sz w:val="26"/>
          <w:szCs w:val="26"/>
        </w:rPr>
        <w:t xml:space="preserve"> №</w:t>
      </w:r>
      <w:r w:rsidR="004C4C30" w:rsidRPr="005F20BF">
        <w:rPr>
          <w:rFonts w:ascii="Times New Roman" w:hAnsi="Times New Roman"/>
          <w:sz w:val="26"/>
          <w:szCs w:val="26"/>
        </w:rPr>
        <w:t>677-п, от 08.12.2015 №776-п, от 17.12.2015 №810</w:t>
      </w:r>
      <w:r w:rsidR="00EA619C" w:rsidRPr="005F20BF">
        <w:rPr>
          <w:rFonts w:ascii="Times New Roman" w:hAnsi="Times New Roman"/>
          <w:sz w:val="26"/>
          <w:szCs w:val="26"/>
        </w:rPr>
        <w:t>-</w:t>
      </w:r>
      <w:r w:rsidR="004C4C30" w:rsidRPr="005F20BF">
        <w:rPr>
          <w:rFonts w:ascii="Times New Roman" w:hAnsi="Times New Roman"/>
          <w:sz w:val="26"/>
          <w:szCs w:val="26"/>
        </w:rPr>
        <w:t>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="004C4C30" w:rsidRPr="005F20B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C4C30" w:rsidRPr="005F20BF">
        <w:rPr>
          <w:rFonts w:ascii="Times New Roman" w:hAnsi="Times New Roman"/>
          <w:sz w:val="26"/>
          <w:szCs w:val="26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="00EA619C" w:rsidRPr="005F20B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C4C30" w:rsidRPr="005F20BF">
        <w:rPr>
          <w:rFonts w:ascii="Times New Roman" w:hAnsi="Times New Roman"/>
          <w:sz w:val="26"/>
          <w:szCs w:val="26"/>
        </w:rPr>
        <w:t>27.09.2018 №311-п</w:t>
      </w:r>
      <w:r w:rsidR="00EA619C" w:rsidRPr="005F20BF">
        <w:rPr>
          <w:rFonts w:ascii="Times New Roman" w:hAnsi="Times New Roman"/>
          <w:sz w:val="26"/>
          <w:szCs w:val="26"/>
        </w:rPr>
        <w:t>, от 08.11.2018 №374-п, от 15.11.2018 №396-п, от 23.11.2018 №413-п</w:t>
      </w:r>
      <w:r w:rsidR="00F559B8" w:rsidRPr="005F20BF">
        <w:rPr>
          <w:rFonts w:ascii="Times New Roman" w:hAnsi="Times New Roman"/>
          <w:sz w:val="26"/>
          <w:szCs w:val="26"/>
        </w:rPr>
        <w:t>, от 30.11.2018 №418-п</w:t>
      </w:r>
      <w:r w:rsidR="00D67770" w:rsidRPr="005F20BF">
        <w:rPr>
          <w:rFonts w:ascii="Times New Roman" w:hAnsi="Times New Roman"/>
          <w:sz w:val="26"/>
          <w:szCs w:val="26"/>
        </w:rPr>
        <w:t>)</w:t>
      </w:r>
      <w:r w:rsidR="00B01E01" w:rsidRPr="005F20BF">
        <w:rPr>
          <w:rFonts w:ascii="Times New Roman" w:hAnsi="Times New Roman"/>
          <w:sz w:val="26"/>
          <w:szCs w:val="26"/>
        </w:rPr>
        <w:t xml:space="preserve"> следующие изменения:</w:t>
      </w:r>
      <w:proofErr w:type="gramEnd"/>
    </w:p>
    <w:p w:rsidR="00DE6F66" w:rsidRPr="005F20BF" w:rsidRDefault="00DF2ECD" w:rsidP="00DF2ECD">
      <w:pPr>
        <w:pStyle w:val="ConsPlusNormal"/>
        <w:ind w:left="-284" w:firstLine="426"/>
        <w:jc w:val="both"/>
        <w:outlineLvl w:val="2"/>
        <w:rPr>
          <w:rFonts w:ascii="Times New Roman" w:hAnsi="Times New Roman"/>
          <w:sz w:val="26"/>
          <w:szCs w:val="26"/>
        </w:rPr>
      </w:pPr>
      <w:r w:rsidRPr="005F20BF">
        <w:rPr>
          <w:rFonts w:ascii="Times New Roman" w:hAnsi="Times New Roman"/>
          <w:sz w:val="26"/>
          <w:szCs w:val="26"/>
        </w:rPr>
        <w:t xml:space="preserve">приложение № 4 к подпрограмме 3 </w:t>
      </w:r>
      <w:r w:rsidRPr="005F20BF">
        <w:rPr>
          <w:rFonts w:ascii="Times New Roman" w:hAnsi="Times New Roman" w:cs="Times New Roman"/>
          <w:sz w:val="26"/>
          <w:szCs w:val="26"/>
        </w:rPr>
        <w:t xml:space="preserve">«Доступность коммунально-бытовых услуг для населения Северо-Енисейского района» </w:t>
      </w:r>
      <w:r w:rsidR="0019197E" w:rsidRPr="005F20BF">
        <w:rPr>
          <w:rFonts w:ascii="Times New Roman" w:hAnsi="Times New Roman" w:cs="Times New Roman"/>
          <w:sz w:val="26"/>
          <w:szCs w:val="26"/>
        </w:rPr>
        <w:t>муниципальной программ</w:t>
      </w:r>
      <w:r w:rsidRPr="005F20BF">
        <w:rPr>
          <w:rFonts w:ascii="Times New Roman" w:hAnsi="Times New Roman" w:cs="Times New Roman"/>
          <w:sz w:val="26"/>
          <w:szCs w:val="26"/>
        </w:rPr>
        <w:t xml:space="preserve">ы </w:t>
      </w:r>
      <w:r w:rsidR="00DE6F66" w:rsidRPr="005F20BF">
        <w:rPr>
          <w:rFonts w:ascii="Times New Roman" w:hAnsi="Times New Roman"/>
          <w:sz w:val="26"/>
          <w:szCs w:val="26"/>
        </w:rPr>
        <w:t xml:space="preserve">изложить в </w:t>
      </w:r>
      <w:r w:rsidRPr="005F20BF">
        <w:rPr>
          <w:rFonts w:ascii="Times New Roman" w:hAnsi="Times New Roman"/>
          <w:sz w:val="26"/>
          <w:szCs w:val="26"/>
        </w:rPr>
        <w:t>новой</w:t>
      </w:r>
      <w:r w:rsidR="00DE6F66" w:rsidRPr="005F20BF">
        <w:rPr>
          <w:rFonts w:ascii="Times New Roman" w:hAnsi="Times New Roman"/>
          <w:sz w:val="26"/>
          <w:szCs w:val="26"/>
        </w:rPr>
        <w:t xml:space="preserve"> редакции</w:t>
      </w:r>
      <w:r w:rsidRPr="005F20BF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постановлению;</w:t>
      </w:r>
    </w:p>
    <w:p w:rsidR="005254A3" w:rsidRPr="005F20BF" w:rsidRDefault="0021269A" w:rsidP="00FD141F">
      <w:pPr>
        <w:spacing w:after="0" w:line="240" w:lineRule="auto"/>
        <w:ind w:left="-360" w:firstLine="502"/>
        <w:jc w:val="both"/>
        <w:rPr>
          <w:rFonts w:ascii="Times New Roman" w:hAnsi="Times New Roman"/>
          <w:sz w:val="26"/>
          <w:szCs w:val="26"/>
        </w:rPr>
      </w:pPr>
      <w:r w:rsidRPr="005F20BF">
        <w:rPr>
          <w:rFonts w:ascii="Times New Roman" w:hAnsi="Times New Roman"/>
          <w:sz w:val="26"/>
          <w:szCs w:val="26"/>
        </w:rPr>
        <w:t>2</w:t>
      </w:r>
      <w:r w:rsidR="005254A3" w:rsidRPr="005F20BF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опубликования в газете «Северо-Енисейский Вестник»</w:t>
      </w:r>
      <w:r w:rsidR="003E6DA5">
        <w:rPr>
          <w:rFonts w:ascii="Times New Roman" w:hAnsi="Times New Roman"/>
          <w:sz w:val="26"/>
          <w:szCs w:val="26"/>
        </w:rPr>
        <w:t xml:space="preserve"> и применяется с 30.11.2018</w:t>
      </w:r>
      <w:r w:rsidR="005254A3" w:rsidRPr="005F20BF">
        <w:rPr>
          <w:rFonts w:ascii="Times New Roman" w:hAnsi="Times New Roman"/>
          <w:sz w:val="26"/>
          <w:szCs w:val="26"/>
        </w:rPr>
        <w:t>.</w:t>
      </w:r>
    </w:p>
    <w:p w:rsidR="005905E2" w:rsidRDefault="005905E2" w:rsidP="005905E2">
      <w:pPr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</w:rPr>
      </w:pPr>
    </w:p>
    <w:p w:rsidR="004631C8" w:rsidRPr="005F20BF" w:rsidRDefault="004631C8" w:rsidP="005905E2">
      <w:pPr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</w:rPr>
      </w:pPr>
    </w:p>
    <w:p w:rsidR="00943CE9" w:rsidRPr="005F20BF" w:rsidRDefault="00943CE9" w:rsidP="00943CE9">
      <w:pPr>
        <w:spacing w:after="0" w:line="240" w:lineRule="auto"/>
        <w:ind w:left="-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20BF">
        <w:rPr>
          <w:rFonts w:ascii="Times New Roman" w:eastAsia="Times New Roman" w:hAnsi="Times New Roman"/>
          <w:sz w:val="26"/>
          <w:szCs w:val="26"/>
          <w:lang w:eastAsia="ru-RU"/>
        </w:rPr>
        <w:t xml:space="preserve">Временно </w:t>
      </w:r>
      <w:proofErr w:type="gramStart"/>
      <w:r w:rsidRPr="005F20BF">
        <w:rPr>
          <w:rFonts w:ascii="Times New Roman" w:eastAsia="Times New Roman" w:hAnsi="Times New Roman"/>
          <w:sz w:val="26"/>
          <w:szCs w:val="26"/>
          <w:lang w:eastAsia="ru-RU"/>
        </w:rPr>
        <w:t>исполняющий</w:t>
      </w:r>
      <w:proofErr w:type="gramEnd"/>
      <w:r w:rsidRPr="005F20BF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полномочия</w:t>
      </w:r>
    </w:p>
    <w:p w:rsidR="00943CE9" w:rsidRPr="005F20BF" w:rsidRDefault="00943CE9" w:rsidP="00FD141F">
      <w:pPr>
        <w:spacing w:after="0" w:line="240" w:lineRule="auto"/>
        <w:ind w:left="-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20BF">
        <w:rPr>
          <w:rFonts w:ascii="Times New Roman" w:eastAsia="Times New Roman" w:hAnsi="Times New Roman"/>
          <w:sz w:val="26"/>
          <w:szCs w:val="26"/>
          <w:lang w:eastAsia="ru-RU"/>
        </w:rPr>
        <w:t>Главы Северо-Енисейского района,</w:t>
      </w:r>
    </w:p>
    <w:p w:rsidR="005F20BF" w:rsidRDefault="00943CE9" w:rsidP="00FD141F">
      <w:pPr>
        <w:spacing w:after="0" w:line="240" w:lineRule="auto"/>
        <w:ind w:left="-284"/>
        <w:rPr>
          <w:rFonts w:ascii="Times New Roman" w:eastAsia="Times New Roman" w:hAnsi="Times New Roman"/>
          <w:sz w:val="26"/>
          <w:szCs w:val="26"/>
          <w:lang w:eastAsia="ru-RU"/>
        </w:rPr>
        <w:sectPr w:rsidR="005F20BF" w:rsidSect="00EA619C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  <w:r w:rsidRPr="005F20BF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первый заместитель главы района </w:t>
      </w:r>
      <w:r w:rsidR="00FD141F" w:rsidRPr="005F20B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D141F" w:rsidRPr="005F20B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D141F" w:rsidRPr="005F20B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D141F" w:rsidRPr="005F20B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D141F" w:rsidRPr="005F20B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D141F" w:rsidRPr="005F20B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F20BF">
        <w:rPr>
          <w:rFonts w:ascii="Times New Roman" w:eastAsia="Times New Roman" w:hAnsi="Times New Roman"/>
          <w:sz w:val="26"/>
          <w:szCs w:val="26"/>
          <w:lang w:eastAsia="ru-RU"/>
        </w:rPr>
        <w:t>А.Н.Рябцев</w:t>
      </w:r>
    </w:p>
    <w:p w:rsidR="005F20BF" w:rsidRDefault="004631C8" w:rsidP="005F20B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5F20BF" w:rsidRDefault="004631C8" w:rsidP="005F20B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F20BF" w:rsidRDefault="005F20BF" w:rsidP="005F20B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11425" w:rsidRDefault="004631C8" w:rsidP="005F20B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 </w:t>
      </w:r>
      <w:r w:rsidR="00E1701C" w:rsidRPr="00E1701C">
        <w:rPr>
          <w:rFonts w:ascii="Times New Roman" w:hAnsi="Times New Roman"/>
          <w:sz w:val="20"/>
          <w:szCs w:val="20"/>
          <w:u w:val="single"/>
        </w:rPr>
        <w:t>13.12.2018</w:t>
      </w:r>
      <w:r w:rsidR="00E1701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№</w:t>
      </w:r>
      <w:r w:rsidR="00E1701C">
        <w:rPr>
          <w:rFonts w:ascii="Times New Roman" w:hAnsi="Times New Roman"/>
          <w:sz w:val="20"/>
          <w:szCs w:val="20"/>
        </w:rPr>
        <w:t xml:space="preserve"> </w:t>
      </w:r>
      <w:r w:rsidR="00E1701C" w:rsidRPr="00E1701C">
        <w:rPr>
          <w:rFonts w:ascii="Times New Roman" w:hAnsi="Times New Roman"/>
          <w:sz w:val="20"/>
          <w:szCs w:val="20"/>
          <w:u w:val="single"/>
        </w:rPr>
        <w:t>429-п</w:t>
      </w:r>
    </w:p>
    <w:p w:rsidR="005F20BF" w:rsidRPr="005F20BF" w:rsidRDefault="00411425" w:rsidP="005F20B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(Новая редакция п</w:t>
      </w:r>
      <w:r w:rsidR="005F20BF" w:rsidRPr="005F20BF">
        <w:rPr>
          <w:rFonts w:ascii="Times New Roman" w:hAnsi="Times New Roman"/>
          <w:sz w:val="20"/>
          <w:szCs w:val="20"/>
        </w:rPr>
        <w:t>риложени</w:t>
      </w:r>
      <w:r>
        <w:rPr>
          <w:rFonts w:ascii="Times New Roman" w:hAnsi="Times New Roman"/>
          <w:sz w:val="20"/>
          <w:szCs w:val="20"/>
        </w:rPr>
        <w:t>я</w:t>
      </w:r>
      <w:r w:rsidR="005F20BF" w:rsidRPr="005F20BF">
        <w:rPr>
          <w:rFonts w:ascii="Times New Roman" w:hAnsi="Times New Roman"/>
          <w:sz w:val="20"/>
          <w:szCs w:val="20"/>
        </w:rPr>
        <w:t xml:space="preserve"> №4</w:t>
      </w:r>
      <w:proofErr w:type="gramEnd"/>
    </w:p>
    <w:p w:rsidR="005F20BF" w:rsidRPr="005F20BF" w:rsidRDefault="005F20BF" w:rsidP="005F20B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5F20BF">
        <w:rPr>
          <w:rFonts w:ascii="Times New Roman" w:hAnsi="Times New Roman"/>
          <w:sz w:val="20"/>
          <w:szCs w:val="20"/>
        </w:rPr>
        <w:t>к подпрограмме</w:t>
      </w:r>
      <w:r w:rsidR="00411425">
        <w:rPr>
          <w:rFonts w:ascii="Times New Roman" w:hAnsi="Times New Roman"/>
          <w:sz w:val="20"/>
          <w:szCs w:val="20"/>
        </w:rPr>
        <w:t xml:space="preserve"> </w:t>
      </w:r>
      <w:r w:rsidRPr="005F20BF">
        <w:rPr>
          <w:rFonts w:ascii="Times New Roman" w:hAnsi="Times New Roman"/>
          <w:sz w:val="20"/>
          <w:szCs w:val="20"/>
        </w:rPr>
        <w:t xml:space="preserve">«Доступность </w:t>
      </w:r>
      <w:proofErr w:type="gramStart"/>
      <w:r w:rsidRPr="005F20BF">
        <w:rPr>
          <w:rFonts w:ascii="Times New Roman" w:hAnsi="Times New Roman"/>
          <w:sz w:val="20"/>
          <w:szCs w:val="20"/>
        </w:rPr>
        <w:t>коммунально-бытовых</w:t>
      </w:r>
      <w:proofErr w:type="gramEnd"/>
    </w:p>
    <w:p w:rsidR="005F20BF" w:rsidRPr="005F20BF" w:rsidRDefault="005F20BF" w:rsidP="005F20B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5F20BF">
        <w:rPr>
          <w:rFonts w:ascii="Times New Roman" w:hAnsi="Times New Roman"/>
          <w:sz w:val="20"/>
          <w:szCs w:val="20"/>
        </w:rPr>
        <w:t>услуг для населения Северо-Енисейского района»</w:t>
      </w:r>
      <w:r w:rsidR="00411425">
        <w:rPr>
          <w:rFonts w:ascii="Times New Roman" w:hAnsi="Times New Roman"/>
          <w:sz w:val="20"/>
          <w:szCs w:val="20"/>
        </w:rPr>
        <w:t>)</w:t>
      </w:r>
    </w:p>
    <w:p w:rsidR="00411425" w:rsidRDefault="00411425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20BF">
        <w:rPr>
          <w:rFonts w:ascii="Times New Roman" w:hAnsi="Times New Roman"/>
          <w:sz w:val="28"/>
          <w:szCs w:val="28"/>
        </w:rPr>
        <w:t xml:space="preserve">Порядок предоставления </w:t>
      </w:r>
      <w:r w:rsidRPr="005F20BF">
        <w:rPr>
          <w:rFonts w:ascii="Times New Roman" w:hAnsi="Times New Roman"/>
          <w:bCs/>
          <w:sz w:val="28"/>
          <w:szCs w:val="28"/>
        </w:rPr>
        <w:t xml:space="preserve">субсидии на финансирование затрат теплоснабжающих и </w:t>
      </w:r>
      <w:proofErr w:type="spellStart"/>
      <w:r w:rsidRPr="005F20BF">
        <w:rPr>
          <w:rFonts w:ascii="Times New Roman" w:hAnsi="Times New Roman"/>
          <w:bCs/>
          <w:sz w:val="28"/>
          <w:szCs w:val="28"/>
        </w:rPr>
        <w:t>энергосбытовых</w:t>
      </w:r>
      <w:proofErr w:type="spellEnd"/>
      <w:r w:rsidRPr="005F20BF">
        <w:rPr>
          <w:rFonts w:ascii="Times New Roman" w:hAnsi="Times New Roman"/>
          <w:bCs/>
          <w:sz w:val="28"/>
          <w:szCs w:val="28"/>
        </w:rPr>
        <w:t xml:space="preserve">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</w:t>
      </w:r>
      <w:r w:rsidR="002C7868">
        <w:rPr>
          <w:rFonts w:ascii="Times New Roman" w:hAnsi="Times New Roman"/>
          <w:bCs/>
          <w:sz w:val="28"/>
          <w:szCs w:val="28"/>
        </w:rPr>
        <w:t>ектрическую энергию на 2018 год</w:t>
      </w:r>
      <w:r w:rsidR="00E7173F">
        <w:rPr>
          <w:rFonts w:ascii="Times New Roman" w:hAnsi="Times New Roman"/>
          <w:bCs/>
          <w:sz w:val="28"/>
          <w:szCs w:val="28"/>
        </w:rPr>
        <w:t>, предоставляемую</w:t>
      </w:r>
      <w:r w:rsidR="00F314DF">
        <w:rPr>
          <w:rFonts w:ascii="Times New Roman" w:hAnsi="Times New Roman"/>
          <w:bCs/>
          <w:sz w:val="28"/>
          <w:szCs w:val="28"/>
        </w:rPr>
        <w:t xml:space="preserve"> за счет средств субсидии бюджетам муниципальных образований</w:t>
      </w:r>
      <w:r w:rsidR="00F314DF" w:rsidRPr="00F314DF">
        <w:rPr>
          <w:rFonts w:ascii="Times New Roman" w:hAnsi="Times New Roman"/>
          <w:bCs/>
          <w:sz w:val="28"/>
          <w:szCs w:val="28"/>
        </w:rPr>
        <w:t xml:space="preserve"> </w:t>
      </w:r>
      <w:r w:rsidR="00F314DF" w:rsidRPr="005F20BF">
        <w:rPr>
          <w:rFonts w:ascii="Times New Roman" w:hAnsi="Times New Roman"/>
          <w:bCs/>
          <w:sz w:val="28"/>
          <w:szCs w:val="28"/>
        </w:rPr>
        <w:t>края, расположенных в районах Крайнего Севера и приравненных к ним местностях с</w:t>
      </w:r>
      <w:proofErr w:type="gramEnd"/>
      <w:r w:rsidR="00F314DF" w:rsidRPr="005F20BF">
        <w:rPr>
          <w:rFonts w:ascii="Times New Roman" w:hAnsi="Times New Roman"/>
          <w:bCs/>
          <w:sz w:val="28"/>
          <w:szCs w:val="28"/>
        </w:rPr>
        <w:t xml:space="preserve"> ограниченными сроками завоза грузов</w:t>
      </w:r>
      <w:r w:rsidR="00F314DF">
        <w:rPr>
          <w:rFonts w:ascii="Times New Roman" w:hAnsi="Times New Roman"/>
          <w:bCs/>
          <w:sz w:val="28"/>
          <w:szCs w:val="28"/>
        </w:rPr>
        <w:t xml:space="preserve"> </w:t>
      </w:r>
      <w:r w:rsidR="00F314DF" w:rsidRPr="005F20BF">
        <w:rPr>
          <w:rFonts w:ascii="Times New Roman" w:hAnsi="Times New Roman"/>
          <w:bCs/>
          <w:sz w:val="28"/>
          <w:szCs w:val="28"/>
        </w:rPr>
        <w:t>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хозяйства»</w:t>
      </w:r>
      <w:r w:rsidRPr="005F20BF">
        <w:rPr>
          <w:rFonts w:ascii="Times New Roman" w:hAnsi="Times New Roman"/>
          <w:bCs/>
          <w:sz w:val="28"/>
          <w:szCs w:val="28"/>
        </w:rPr>
        <w:t xml:space="preserve"> </w:t>
      </w:r>
      <w:r w:rsidRPr="005F20BF">
        <w:rPr>
          <w:rFonts w:ascii="Times New Roman" w:hAnsi="Times New Roman"/>
          <w:sz w:val="28"/>
          <w:szCs w:val="28"/>
        </w:rPr>
        <w:t>(далее - Порядок)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F20BF" w:rsidRPr="005F20BF" w:rsidRDefault="005F20BF" w:rsidP="005F20B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1. Общие положения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5F20BF">
        <w:rPr>
          <w:rFonts w:ascii="Times New Roman" w:hAnsi="Times New Roman"/>
          <w:sz w:val="28"/>
          <w:szCs w:val="28"/>
        </w:rPr>
        <w:t xml:space="preserve">Настоящий Порядок устанавливает цели, условия и порядок предоставления из бюджета Северо-Енисейского района </w:t>
      </w:r>
      <w:r w:rsidRPr="005F20BF">
        <w:rPr>
          <w:rFonts w:ascii="Times New Roman" w:hAnsi="Times New Roman"/>
          <w:bCs/>
          <w:sz w:val="28"/>
          <w:szCs w:val="28"/>
        </w:rPr>
        <w:t xml:space="preserve">субсидии на финансирование затрат теплоснабжающих и </w:t>
      </w:r>
      <w:proofErr w:type="spellStart"/>
      <w:r w:rsidRPr="005F20BF">
        <w:rPr>
          <w:rFonts w:ascii="Times New Roman" w:hAnsi="Times New Roman"/>
          <w:bCs/>
          <w:sz w:val="28"/>
          <w:szCs w:val="28"/>
        </w:rPr>
        <w:t>энергосбытовых</w:t>
      </w:r>
      <w:proofErr w:type="spellEnd"/>
      <w:r w:rsidRPr="005F20BF">
        <w:rPr>
          <w:rFonts w:ascii="Times New Roman" w:hAnsi="Times New Roman"/>
          <w:bCs/>
          <w:sz w:val="28"/>
          <w:szCs w:val="28"/>
        </w:rPr>
        <w:t xml:space="preserve">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 на 2018 год</w:t>
      </w:r>
      <w:r w:rsidR="00E7173F">
        <w:rPr>
          <w:rFonts w:ascii="Times New Roman" w:hAnsi="Times New Roman"/>
          <w:bCs/>
          <w:sz w:val="28"/>
          <w:szCs w:val="28"/>
        </w:rPr>
        <w:t>, предоставляемую за счет средств субсидии бюджетам муниципальных образований</w:t>
      </w:r>
      <w:r w:rsidR="00E7173F" w:rsidRPr="00F314DF">
        <w:rPr>
          <w:rFonts w:ascii="Times New Roman" w:hAnsi="Times New Roman"/>
          <w:bCs/>
          <w:sz w:val="28"/>
          <w:szCs w:val="28"/>
        </w:rPr>
        <w:t xml:space="preserve"> </w:t>
      </w:r>
      <w:r w:rsidR="00E7173F" w:rsidRPr="005F20BF">
        <w:rPr>
          <w:rFonts w:ascii="Times New Roman" w:hAnsi="Times New Roman"/>
          <w:bCs/>
          <w:sz w:val="28"/>
          <w:szCs w:val="28"/>
        </w:rPr>
        <w:t>края, расположенных</w:t>
      </w:r>
      <w:proofErr w:type="gramEnd"/>
      <w:r w:rsidR="00E7173F" w:rsidRPr="005F20BF">
        <w:rPr>
          <w:rFonts w:ascii="Times New Roman" w:hAnsi="Times New Roman"/>
          <w:bCs/>
          <w:sz w:val="28"/>
          <w:szCs w:val="28"/>
        </w:rPr>
        <w:t xml:space="preserve"> в районах Крайнего Севера и приравненных к ним местностях с ограниченными сроками завоза грузов</w:t>
      </w:r>
      <w:r w:rsidR="00E7173F">
        <w:rPr>
          <w:rFonts w:ascii="Times New Roman" w:hAnsi="Times New Roman"/>
          <w:bCs/>
          <w:sz w:val="28"/>
          <w:szCs w:val="28"/>
        </w:rPr>
        <w:t xml:space="preserve"> </w:t>
      </w:r>
      <w:r w:rsidR="00E7173F" w:rsidRPr="005F20BF">
        <w:rPr>
          <w:rFonts w:ascii="Times New Roman" w:hAnsi="Times New Roman"/>
          <w:bCs/>
          <w:sz w:val="28"/>
          <w:szCs w:val="28"/>
        </w:rPr>
        <w:t>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хозяйства»</w:t>
      </w:r>
      <w:r w:rsidRPr="005F20BF">
        <w:rPr>
          <w:rFonts w:ascii="Times New Roman" w:hAnsi="Times New Roman"/>
          <w:bCs/>
          <w:sz w:val="28"/>
          <w:szCs w:val="28"/>
        </w:rPr>
        <w:t xml:space="preserve"> </w:t>
      </w:r>
      <w:r w:rsidRPr="005F20BF">
        <w:rPr>
          <w:rFonts w:ascii="Times New Roman" w:hAnsi="Times New Roman"/>
          <w:sz w:val="28"/>
          <w:szCs w:val="28"/>
        </w:rPr>
        <w:t>(далее - субсидия).</w:t>
      </w:r>
    </w:p>
    <w:p w:rsid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1.2. Субсидия предоставляется в соответствии с Федеральными законами от 06.10.2003 № 131-ФЗ «Об общих принципах организации местного самоуправления в Российской Федерации», статьями 78, 86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услуг».</w:t>
      </w:r>
    </w:p>
    <w:p w:rsidR="002C7868" w:rsidRPr="005F20BF" w:rsidRDefault="002C7868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Субсидия предоставляется за счет средств бюджета Красноярского края</w:t>
      </w:r>
      <w:r w:rsidR="00F314DF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направляется </w:t>
      </w:r>
      <w:r w:rsidRPr="005F20BF">
        <w:rPr>
          <w:rFonts w:ascii="Times New Roman" w:hAnsi="Times New Roman"/>
          <w:bCs/>
          <w:sz w:val="28"/>
          <w:szCs w:val="28"/>
        </w:rPr>
        <w:t>бюджетам муниципальных образований края, расположенных в районах Крайнего Севера и приравненных к ним местностях с ограниченными сроками завоза грузов</w:t>
      </w:r>
      <w:r>
        <w:rPr>
          <w:rFonts w:ascii="Times New Roman" w:hAnsi="Times New Roman"/>
          <w:bCs/>
          <w:sz w:val="28"/>
          <w:szCs w:val="28"/>
        </w:rPr>
        <w:t>,</w:t>
      </w:r>
      <w:r w:rsidRPr="002C7868">
        <w:rPr>
          <w:rFonts w:ascii="Times New Roman" w:hAnsi="Times New Roman"/>
          <w:bCs/>
          <w:sz w:val="28"/>
          <w:szCs w:val="28"/>
        </w:rPr>
        <w:t xml:space="preserve"> </w:t>
      </w:r>
      <w:r w:rsidRPr="005F20BF">
        <w:rPr>
          <w:rFonts w:ascii="Times New Roman" w:hAnsi="Times New Roman"/>
          <w:bCs/>
          <w:sz w:val="28"/>
          <w:szCs w:val="28"/>
        </w:rPr>
        <w:t xml:space="preserve">в рамках подпрограммы «Обеспечение доступности платы граждан в условиях развития жилищных отношений» государственной </w:t>
      </w:r>
      <w:r w:rsidRPr="005F20BF">
        <w:rPr>
          <w:rFonts w:ascii="Times New Roman" w:hAnsi="Times New Roman"/>
          <w:bCs/>
          <w:sz w:val="28"/>
          <w:szCs w:val="28"/>
        </w:rPr>
        <w:lastRenderedPageBreak/>
        <w:t>программы Красноярского края «Реформирование и модернизация жилищно-коммунального хозяйства»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 xml:space="preserve">1.3. Целью предоставления субсидии является исполнение органами местного самоуправления Северо-Енисейского района своих полномочий по </w:t>
      </w:r>
      <w:r w:rsidRPr="005F20BF">
        <w:rPr>
          <w:rFonts w:ascii="Times New Roman" w:hAnsi="Times New Roman"/>
          <w:sz w:val="28"/>
          <w:szCs w:val="28"/>
          <w:lang w:eastAsia="ru-RU"/>
        </w:rPr>
        <w:t xml:space="preserve">организации </w:t>
      </w:r>
      <w:r w:rsidRPr="005F20BF">
        <w:rPr>
          <w:rFonts w:ascii="Times New Roman" w:hAnsi="Times New Roman"/>
          <w:sz w:val="28"/>
          <w:szCs w:val="28"/>
        </w:rPr>
        <w:t>в границах населенных пунктов муниципального района теплоснабжения населения в пределах полномочий, установленных законодательством Российской Федерации.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1.4.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</w:t>
      </w:r>
      <w:r w:rsidR="002C7868">
        <w:rPr>
          <w:rFonts w:ascii="Times New Roman" w:hAnsi="Times New Roman" w:cs="Times New Roman"/>
          <w:sz w:val="28"/>
          <w:szCs w:val="28"/>
        </w:rPr>
        <w:t>ю</w:t>
      </w:r>
      <w:r w:rsidRPr="005F20BF">
        <w:rPr>
          <w:rFonts w:ascii="Times New Roman" w:hAnsi="Times New Roman" w:cs="Times New Roman"/>
          <w:sz w:val="28"/>
          <w:szCs w:val="28"/>
        </w:rPr>
        <w:t xml:space="preserve"> средств бюджета Северо-Енисейского района) администраци</w:t>
      </w:r>
      <w:r w:rsidR="002C7868">
        <w:rPr>
          <w:rFonts w:ascii="Times New Roman" w:hAnsi="Times New Roman" w:cs="Times New Roman"/>
          <w:sz w:val="28"/>
          <w:szCs w:val="28"/>
        </w:rPr>
        <w:t>и</w:t>
      </w:r>
      <w:r w:rsidRPr="005F20BF">
        <w:rPr>
          <w:rFonts w:ascii="Times New Roman" w:hAnsi="Times New Roman" w:cs="Times New Roman"/>
          <w:sz w:val="28"/>
          <w:szCs w:val="28"/>
        </w:rPr>
        <w:t xml:space="preserve"> Северо-Енисейского района (далее – администрацией района) в лице отдела бухгалтерского учета и отчетности администрации района.</w:t>
      </w:r>
    </w:p>
    <w:p w:rsidR="005F20BF" w:rsidRPr="005F20BF" w:rsidRDefault="005F20BF" w:rsidP="005F20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1.5. Субсидия предоставляется при условии:</w:t>
      </w:r>
    </w:p>
    <w:p w:rsidR="005F20BF" w:rsidRPr="005F20BF" w:rsidRDefault="005F20BF" w:rsidP="005F20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1) заключения победителем отбора соглашения (договора) о предоставлении субсидии;</w:t>
      </w:r>
    </w:p>
    <w:p w:rsidR="005F20BF" w:rsidRPr="005F20BF" w:rsidRDefault="005F20BF" w:rsidP="005F20BF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2) предоставление в пределах бюджетных ассигнований, утвержденных ГРБС (как получателю бюджетных средств</w:t>
      </w:r>
      <w:r w:rsidR="002C7868" w:rsidRPr="002C7868">
        <w:rPr>
          <w:rFonts w:ascii="Times New Roman" w:hAnsi="Times New Roman" w:cs="Times New Roman"/>
          <w:sz w:val="28"/>
          <w:szCs w:val="28"/>
        </w:rPr>
        <w:t xml:space="preserve"> </w:t>
      </w:r>
      <w:r w:rsidR="002C7868" w:rsidRPr="005F20BF">
        <w:rPr>
          <w:rFonts w:ascii="Times New Roman" w:hAnsi="Times New Roman" w:cs="Times New Roman"/>
          <w:sz w:val="28"/>
          <w:szCs w:val="28"/>
        </w:rPr>
        <w:t>бюджета Северо-Енисейского района</w:t>
      </w:r>
      <w:r w:rsidRPr="005F20BF">
        <w:rPr>
          <w:rFonts w:ascii="Times New Roman" w:hAnsi="Times New Roman" w:cs="Times New Roman"/>
          <w:sz w:val="28"/>
          <w:szCs w:val="28"/>
        </w:rPr>
        <w:t>) на соответствующий финансовый год и в пределах лимитов бюджетных обязательств на предоставление субсидии на соответствующий финансовый год;</w:t>
      </w:r>
    </w:p>
    <w:p w:rsidR="005F20BF" w:rsidRPr="005F20BF" w:rsidRDefault="005F20BF" w:rsidP="005F20BF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3) соблюдения получателем субсидии настоящего Порядка.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1.6. Для целей настоящего Порядка используемые термины означают следующее: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20BF">
        <w:rPr>
          <w:rFonts w:ascii="Times New Roman" w:hAnsi="Times New Roman"/>
          <w:sz w:val="28"/>
          <w:szCs w:val="28"/>
        </w:rPr>
        <w:t>Заявитель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коммунальных объектов, обеспечение услугами теплоснабжения населения и организаций, передача, распределение тепловой энергии, если при этом указанные претенденты осуществляют эксплуатацию принадлежащих им объектов теплоснабжения на праве собственности или хозяйственного</w:t>
      </w:r>
      <w:proofErr w:type="gramEnd"/>
      <w:r w:rsidRPr="005F20BF">
        <w:rPr>
          <w:rFonts w:ascii="Times New Roman" w:hAnsi="Times New Roman"/>
          <w:sz w:val="28"/>
          <w:szCs w:val="28"/>
        </w:rPr>
        <w:t xml:space="preserve"> ведения (ином вещном праве), посредством которых предоставляются услуги теплоснабжения населению района, </w:t>
      </w:r>
      <w:proofErr w:type="gramStart"/>
      <w:r w:rsidRPr="005F20BF">
        <w:rPr>
          <w:rFonts w:ascii="Times New Roman" w:hAnsi="Times New Roman"/>
          <w:sz w:val="28"/>
          <w:szCs w:val="28"/>
        </w:rPr>
        <w:t>подавший</w:t>
      </w:r>
      <w:proofErr w:type="gramEnd"/>
      <w:r w:rsidRPr="005F20BF">
        <w:rPr>
          <w:rFonts w:ascii="Times New Roman" w:hAnsi="Times New Roman"/>
          <w:sz w:val="28"/>
          <w:szCs w:val="28"/>
        </w:rPr>
        <w:t xml:space="preserve"> заявление на получение субсидии в соответствии с настоящим Порядком.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Претендент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 xml:space="preserve">Участник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</w:t>
      </w:r>
      <w:r w:rsidRPr="005F20BF">
        <w:rPr>
          <w:rFonts w:ascii="Times New Roman" w:hAnsi="Times New Roman"/>
          <w:sz w:val="28"/>
          <w:szCs w:val="28"/>
        </w:rPr>
        <w:lastRenderedPageBreak/>
        <w:t>требованиям, предъявляемым к претенденту на получение субсидии, и документы которого находятся на рассмотрении в Комиссии по отбору;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Победитель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2.</w:t>
      </w:r>
      <w:r w:rsidRPr="005F20B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F20BF">
        <w:rPr>
          <w:rFonts w:ascii="Times New Roman" w:hAnsi="Times New Roman"/>
          <w:sz w:val="28"/>
          <w:szCs w:val="28"/>
        </w:rPr>
        <w:t>Категории и (или) критерии отбора юридических лиц, индивидуальных предпринимателей, а также физических лиц – производителей товаров, работ, услуг, имеющих право на получение субсидии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2.1. У получателя субсидии: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1) на первое число месяца, предшествующего месяцу, в котором планируется заключение соглашения: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б) отсутствует просроченная задолженность по возврату в бюджет Северо-Енисейского района субсидий, бюджетных инвестиций, предоставленных, в том числе, в соответствии с иными муниципальными правовыми актами Северо-Енисейского района и иная просроченная задолженность перед бюджетом Северо-Енисейского района;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в) получатель субсидии - юридическое лицо не должно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20BF">
        <w:rPr>
          <w:rFonts w:ascii="Times New Roman" w:hAnsi="Times New Roman"/>
          <w:sz w:val="28"/>
          <w:szCs w:val="28"/>
        </w:rPr>
        <w:t>г)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5F20BF">
        <w:rPr>
          <w:rFonts w:ascii="Times New Roman" w:hAnsi="Times New Roman"/>
          <w:sz w:val="28"/>
          <w:szCs w:val="28"/>
        </w:rPr>
        <w:t xml:space="preserve"> таких юридических лиц, в совокупности превышает 50 процентов;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д) не получает средства из бюджета Северо-Енисейского района, на основании иных муниципальных правовых актов на цели, указанные в пункте 1.3. настоящего Порядка.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2.2 Администрация района предоставляет субсидию после проведения процедуры отбора.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 xml:space="preserve">2.3.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</w:t>
      </w:r>
      <w:r w:rsidRPr="005F20BF">
        <w:rPr>
          <w:rFonts w:ascii="Times New Roman" w:hAnsi="Times New Roman" w:cs="Times New Roman"/>
          <w:sz w:val="28"/>
          <w:szCs w:val="28"/>
        </w:rPr>
        <w:lastRenderedPageBreak/>
        <w:t>Северо-Енисейского района (</w:t>
      </w:r>
      <w:hyperlink r:id="rId5" w:history="1">
        <w:r w:rsidRPr="005F20BF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5F20BF">
        <w:rPr>
          <w:rFonts w:ascii="Times New Roman" w:hAnsi="Times New Roman" w:cs="Times New Roman"/>
          <w:sz w:val="28"/>
          <w:szCs w:val="28"/>
        </w:rPr>
        <w:t>) не позднее, чем за 3 дня до окончания срока приема документов.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5F20BF">
        <w:rPr>
          <w:rFonts w:ascii="Times New Roman" w:hAnsi="Times New Roman" w:cs="Times New Roman"/>
          <w:sz w:val="28"/>
          <w:szCs w:val="28"/>
        </w:rPr>
        <w:t>Указанная информация должна содержать сведения о проведении отбора юридических и физических лиц - производителей товаров, работ, услуг, имеющих право на получение субсидии, месте приема заявок на участие в отборе, номер контактного телефона, место, дату и время начала и окончания подачи заявок на участие в отборе, требования к заявителям (перечень предоставляемых документов), критерии отбора, форму заявки на участие в отборе.</w:t>
      </w:r>
      <w:proofErr w:type="gramEnd"/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2.5.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2.6. Для участия в отборе заявитель на получение субсидии подает в Комиссию по отбору заявку на участие в отборе (далее - заявка).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F20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F20BF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заверенную печатью претендента на получение субсидии и подписанную руководителем претендента на получение субсидии или уполномоченным лицом, либо заверенную надлежащим образом копию такой доверенности, для физических лиц – копию паспорта;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2) документы, подтверждающие наличие на балансе (в собственности, хозяйственном ведении) котельных, работающих на жидком котельно-печном топливе, а также тепловых сетей, доставляющих тепловую энергию, заверенные надлежащим образом;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 xml:space="preserve">3) расчет размера потребности в средствах субсидии по </w:t>
      </w:r>
      <w:hyperlink w:anchor="P89" w:history="1">
        <w:r w:rsidRPr="005F20BF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5F20BF">
        <w:rPr>
          <w:rFonts w:ascii="Times New Roman" w:hAnsi="Times New Roman" w:cs="Times New Roman"/>
          <w:sz w:val="28"/>
          <w:szCs w:val="28"/>
        </w:rPr>
        <w:t xml:space="preserve"> согласно приложению № 1 к Порядку;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 xml:space="preserve">4) копию договора поставки ТЭР в период ограниченного срока завоза грузов (продукции) на территории Северо-Енисейского района для проведения отопительного периода, заверенную надлежащим образом; 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 xml:space="preserve">5) копии документации о закупке ТЭР, протоколов, составленных в ходе закупки ТЭР; 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 xml:space="preserve">6) копии платежных документов, подтверждающих расходы ресурсоснабжающих организаций на поставку ТЭР в период ограниченного срока </w:t>
      </w:r>
      <w:r w:rsidRPr="005F20BF">
        <w:rPr>
          <w:rFonts w:ascii="Times New Roman" w:hAnsi="Times New Roman"/>
          <w:sz w:val="28"/>
          <w:szCs w:val="28"/>
        </w:rPr>
        <w:lastRenderedPageBreak/>
        <w:t>завоза грузов (продукции) на территории Северо-Енисейского района для проведения отопительного периода.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7) копии учредительных документов, заверенные надлежащим образом претендентом на получение субсидии (ИНН, ОГРН, копию устава при наличии);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8) бухгалтерский баланс по форме ОКУД 0710001;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9) отчет о финансовых результатах по форме ОКУД 0710002;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10) претендент на получение субсидии вправе представить также: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6" w:history="1">
        <w:r w:rsidRPr="005F20BF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5F20BF">
        <w:rPr>
          <w:rFonts w:ascii="Times New Roman" w:hAnsi="Times New Roman" w:cs="Times New Roman"/>
          <w:sz w:val="28"/>
          <w:szCs w:val="28"/>
        </w:rPr>
        <w:t>), либо копию такой выписки, заверенную надлежащим образом.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2.7. Документы, прилагаемые к заявке и указанные в пункте 2.6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 xml:space="preserve">2.8.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5F20BF">
          <w:rPr>
            <w:rFonts w:ascii="Times New Roman" w:hAnsi="Times New Roman" w:cs="Times New Roman"/>
            <w:sz w:val="28"/>
            <w:szCs w:val="28"/>
          </w:rPr>
          <w:t>пунктом 2.6, в полном объеме.</w:t>
        </w:r>
      </w:hyperlink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2.9.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2.10. Заявитель на получение субсидии вправе подать только одну заявку.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2.11.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2.12.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2.13. Претенденты на получение субсидии или их представители вправе присутствовать при вскрытии конвертов с заявками.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2.14. Комиссия по отбору рассматривает заявки на соответствие требованиям, установленным в настоящем порядке.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2.15. В случае несоответствия заявки требованиям и условиям настоящего порядка, Комиссией по отбору принимается решение об отказе участнику отбора к участию в отборе.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2.16. Указание недостоверных сведений в заявке служит основанием для отказа участнику отбора в допуске к участию в отборе.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 xml:space="preserve">2.17. По результатам рассмотрения заявок Комиссия по отбору в срок не позднее трех рабочих дней со дня проведения готовит заключение о соответствии </w:t>
      </w:r>
      <w:r w:rsidRPr="005F20BF">
        <w:rPr>
          <w:rFonts w:ascii="Times New Roman" w:hAnsi="Times New Roman" w:cs="Times New Roman"/>
          <w:sz w:val="28"/>
          <w:szCs w:val="28"/>
        </w:rPr>
        <w:lastRenderedPageBreak/>
        <w:t>(несоответствии) претендента условиям получения субсидии, которое включается в протокол рассмотрения заявок.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2.18. В протоколе рассмотрения заявок должны содержаться: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2) состав Комиссии по отбору;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3) сведения об участниках отбора, заявки которых были рассмотрены;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2.19.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2.20.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 xml:space="preserve">2.21. На основании решения Комиссии по отбору администрация района принимает (не принимает) решение об определении победителя отбора путем </w:t>
      </w:r>
      <w:r w:rsidR="002C7868">
        <w:rPr>
          <w:rFonts w:ascii="Times New Roman" w:hAnsi="Times New Roman"/>
          <w:sz w:val="28"/>
          <w:szCs w:val="28"/>
        </w:rPr>
        <w:t>подготовки проекта</w:t>
      </w:r>
      <w:r w:rsidRPr="005F20BF">
        <w:rPr>
          <w:rFonts w:ascii="Times New Roman" w:hAnsi="Times New Roman"/>
          <w:sz w:val="28"/>
          <w:szCs w:val="28"/>
        </w:rPr>
        <w:t xml:space="preserve"> распоряжения администрации района об определении победителя отбора.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2.22. После издания указанного распоряжения администрации района победителю отбора вручается проект</w:t>
      </w:r>
      <w:r w:rsidRPr="005F20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20BF">
        <w:rPr>
          <w:rFonts w:ascii="Times New Roman" w:hAnsi="Times New Roman" w:cs="Times New Roman"/>
          <w:sz w:val="28"/>
          <w:szCs w:val="28"/>
        </w:rPr>
        <w:t>соглашения (договора) о предоставлении субсидии в 2-х экземплярах для подписания.</w:t>
      </w:r>
    </w:p>
    <w:p w:rsidR="005F20BF" w:rsidRPr="005F20BF" w:rsidRDefault="005F20BF" w:rsidP="005F20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20BF">
        <w:rPr>
          <w:rFonts w:ascii="Times New Roman" w:hAnsi="Times New Roman" w:cs="Times New Roman"/>
          <w:sz w:val="28"/>
          <w:szCs w:val="28"/>
        </w:rPr>
        <w:t>Проект</w:t>
      </w:r>
      <w:r w:rsidRPr="005F20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20BF">
        <w:rPr>
          <w:rFonts w:ascii="Times New Roman" w:hAnsi="Times New Roman" w:cs="Times New Roman"/>
          <w:sz w:val="28"/>
          <w:szCs w:val="28"/>
        </w:rPr>
        <w:t>соглашения (договора) о предоставлении субсидии готов</w:t>
      </w:r>
      <w:r w:rsidR="002C7868">
        <w:rPr>
          <w:rFonts w:ascii="Times New Roman" w:hAnsi="Times New Roman" w:cs="Times New Roman"/>
          <w:sz w:val="28"/>
          <w:szCs w:val="28"/>
        </w:rPr>
        <w:t>и</w:t>
      </w:r>
      <w:r w:rsidRPr="005F20BF">
        <w:rPr>
          <w:rFonts w:ascii="Times New Roman" w:hAnsi="Times New Roman" w:cs="Times New Roman"/>
          <w:sz w:val="28"/>
          <w:szCs w:val="28"/>
        </w:rPr>
        <w:t>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2.23.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</w:t>
      </w:r>
      <w:r w:rsidR="002C7868" w:rsidRPr="002C7868">
        <w:rPr>
          <w:rFonts w:ascii="Times New Roman" w:hAnsi="Times New Roman"/>
          <w:sz w:val="28"/>
          <w:szCs w:val="28"/>
        </w:rPr>
        <w:t xml:space="preserve"> </w:t>
      </w:r>
      <w:r w:rsidR="002C7868" w:rsidRPr="005F20BF">
        <w:rPr>
          <w:rFonts w:ascii="Times New Roman" w:hAnsi="Times New Roman"/>
          <w:sz w:val="28"/>
          <w:szCs w:val="28"/>
        </w:rPr>
        <w:t>об определении победителя отбора</w:t>
      </w:r>
      <w:r w:rsidRPr="005F20BF">
        <w:rPr>
          <w:rFonts w:ascii="Times New Roman" w:hAnsi="Times New Roman" w:cs="Times New Roman"/>
          <w:sz w:val="28"/>
          <w:szCs w:val="28"/>
        </w:rPr>
        <w:t>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2.24. Победитель отбора, отказавшийся от подписания проекта соглашения (договора) о предоставлении субсидии</w:t>
      </w:r>
      <w:r w:rsidR="002C7868">
        <w:rPr>
          <w:rFonts w:ascii="Times New Roman" w:hAnsi="Times New Roman" w:cs="Times New Roman"/>
          <w:sz w:val="28"/>
          <w:szCs w:val="28"/>
        </w:rPr>
        <w:t>,</w:t>
      </w:r>
      <w:r w:rsidRPr="005F20BF">
        <w:rPr>
          <w:rFonts w:ascii="Times New Roman" w:hAnsi="Times New Roman" w:cs="Times New Roman"/>
          <w:sz w:val="28"/>
          <w:szCs w:val="28"/>
        </w:rPr>
        <w:t xml:space="preserve">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отмен</w:t>
      </w:r>
      <w:r w:rsidR="002C7868">
        <w:rPr>
          <w:rFonts w:ascii="Times New Roman" w:hAnsi="Times New Roman" w:cs="Times New Roman"/>
          <w:sz w:val="28"/>
          <w:szCs w:val="28"/>
        </w:rPr>
        <w:t>ы</w:t>
      </w:r>
      <w:r w:rsidRPr="005F20BF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района об определении победителя отбора.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2.25. После окончания процедуры отбора, но не позднее, чем через 3 рабочих дня после окончания отбора информация о проведении отбора размещается в газете «Северо-Енисейский Вестник» и на официальном сайте Северо-Енисейского района (</w:t>
      </w:r>
      <w:hyperlink r:id="rId7" w:history="1">
        <w:r w:rsidRPr="005F20BF">
          <w:rPr>
            <w:rFonts w:ascii="Times New Roman" w:hAnsi="Times New Roman" w:cs="Times New Roman"/>
            <w:sz w:val="28"/>
            <w:szCs w:val="28"/>
          </w:rPr>
          <w:t>www.admse.ru</w:t>
        </w:r>
      </w:hyperlink>
      <w:r w:rsidRPr="005F20BF">
        <w:rPr>
          <w:rFonts w:ascii="Times New Roman" w:hAnsi="Times New Roman" w:cs="Times New Roman"/>
          <w:sz w:val="28"/>
          <w:szCs w:val="28"/>
        </w:rPr>
        <w:t>).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3. Порядок предоставления и возврата субсидии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bCs/>
          <w:sz w:val="28"/>
          <w:szCs w:val="28"/>
        </w:rPr>
        <w:lastRenderedPageBreak/>
        <w:t>3.1.</w:t>
      </w:r>
      <w:r w:rsidRPr="005F20BF">
        <w:rPr>
          <w:rFonts w:ascii="Times New Roman" w:hAnsi="Times New Roman"/>
          <w:sz w:val="28"/>
          <w:szCs w:val="28"/>
        </w:rPr>
        <w:t xml:space="preserve"> Перечисление средств субсидии победителю отбора</w:t>
      </w:r>
      <w:r w:rsidRPr="005F20B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F20BF">
        <w:rPr>
          <w:rFonts w:ascii="Times New Roman" w:hAnsi="Times New Roman"/>
          <w:sz w:val="28"/>
          <w:szCs w:val="28"/>
        </w:rPr>
        <w:t>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5F20BF" w:rsidRPr="005F20BF" w:rsidRDefault="005F20BF" w:rsidP="005F20B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1) соглашения (договора) о предоставлении субсидии;</w:t>
      </w:r>
    </w:p>
    <w:p w:rsidR="005F20BF" w:rsidRPr="005F20BF" w:rsidRDefault="005F20BF" w:rsidP="005F20B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2) протокола рассмотрения заявок Комиссии по отбору;</w:t>
      </w:r>
    </w:p>
    <w:p w:rsidR="005F20BF" w:rsidRPr="005F20BF" w:rsidRDefault="005F20BF" w:rsidP="005F20B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3) распоряжения администрации района об определении победителя отбора;</w:t>
      </w:r>
    </w:p>
    <w:p w:rsidR="005F20BF" w:rsidRPr="005F20BF" w:rsidRDefault="005F20BF" w:rsidP="005F20B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 xml:space="preserve">4) заявки на финансирование расходов за счет средств бюджета Северо-Енисейского района с приложением счета и (или) </w:t>
      </w:r>
      <w:proofErr w:type="gramStart"/>
      <w:r w:rsidRPr="005F20BF">
        <w:rPr>
          <w:rFonts w:ascii="Times New Roman" w:hAnsi="Times New Roman"/>
          <w:sz w:val="28"/>
          <w:szCs w:val="28"/>
        </w:rPr>
        <w:t>счет-фактуры</w:t>
      </w:r>
      <w:proofErr w:type="gramEnd"/>
      <w:r w:rsidRPr="005F20BF">
        <w:rPr>
          <w:rFonts w:ascii="Times New Roman" w:hAnsi="Times New Roman"/>
          <w:sz w:val="28"/>
          <w:szCs w:val="28"/>
        </w:rPr>
        <w:t>.</w:t>
      </w:r>
    </w:p>
    <w:p w:rsidR="005F20BF" w:rsidRPr="005F20BF" w:rsidRDefault="005F20BF" w:rsidP="005F20B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bCs/>
          <w:sz w:val="28"/>
          <w:szCs w:val="28"/>
        </w:rPr>
        <w:t>3.2.</w:t>
      </w:r>
      <w:r w:rsidRPr="005F20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20BF">
        <w:rPr>
          <w:rFonts w:ascii="Times New Roman" w:hAnsi="Times New Roman"/>
          <w:sz w:val="28"/>
          <w:szCs w:val="28"/>
        </w:rPr>
        <w:t xml:space="preserve">Для подтверждения фактических затрат </w:t>
      </w:r>
      <w:r w:rsidRPr="005F20BF">
        <w:rPr>
          <w:rFonts w:ascii="Times New Roman" w:hAnsi="Times New Roman"/>
          <w:bCs/>
          <w:sz w:val="28"/>
          <w:szCs w:val="28"/>
        </w:rPr>
        <w:t xml:space="preserve">теплоснабжающих и </w:t>
      </w:r>
      <w:proofErr w:type="spellStart"/>
      <w:r w:rsidRPr="005F20BF">
        <w:rPr>
          <w:rFonts w:ascii="Times New Roman" w:hAnsi="Times New Roman"/>
          <w:bCs/>
          <w:sz w:val="28"/>
          <w:szCs w:val="28"/>
        </w:rPr>
        <w:t>энергосбытовых</w:t>
      </w:r>
      <w:proofErr w:type="spellEnd"/>
      <w:r w:rsidRPr="005F20BF">
        <w:rPr>
          <w:rFonts w:ascii="Times New Roman" w:hAnsi="Times New Roman"/>
          <w:bCs/>
          <w:sz w:val="28"/>
          <w:szCs w:val="28"/>
        </w:rPr>
        <w:t xml:space="preserve"> организаций, осуществляющих производство и (или) реализацию тепловой и </w:t>
      </w:r>
      <w:r w:rsidRPr="00820B70">
        <w:rPr>
          <w:rFonts w:ascii="Times New Roman" w:hAnsi="Times New Roman"/>
          <w:bCs/>
          <w:sz w:val="28"/>
          <w:szCs w:val="28"/>
        </w:rPr>
        <w:t>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 на 2018 год</w:t>
      </w:r>
      <w:r w:rsidRPr="00820B7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20B70">
        <w:rPr>
          <w:rFonts w:ascii="Times New Roman" w:hAnsi="Times New Roman"/>
          <w:sz w:val="28"/>
          <w:szCs w:val="28"/>
        </w:rPr>
        <w:t>победитель отбора</w:t>
      </w:r>
      <w:r w:rsidR="00820B70" w:rsidRPr="00820B70">
        <w:rPr>
          <w:rFonts w:ascii="Times New Roman" w:hAnsi="Times New Roman"/>
          <w:bCs/>
          <w:sz w:val="28"/>
          <w:szCs w:val="28"/>
        </w:rPr>
        <w:t xml:space="preserve"> н</w:t>
      </w:r>
      <w:r w:rsidR="00820B70" w:rsidRPr="00820B70">
        <w:rPr>
          <w:rFonts w:ascii="Times New Roman" w:hAnsi="Times New Roman"/>
          <w:sz w:val="28"/>
          <w:szCs w:val="28"/>
        </w:rPr>
        <w:t>е позднее 25 декабря 2018 года</w:t>
      </w:r>
      <w:r w:rsidRPr="00820B70">
        <w:rPr>
          <w:rFonts w:ascii="Times New Roman" w:hAnsi="Times New Roman"/>
          <w:sz w:val="28"/>
          <w:szCs w:val="28"/>
        </w:rPr>
        <w:t xml:space="preserve"> предоставляет в отдел экономического анализа и прогнозирования администрации Северо-Енисейского района</w:t>
      </w:r>
      <w:r w:rsidRPr="005F20BF">
        <w:rPr>
          <w:rFonts w:ascii="Times New Roman" w:hAnsi="Times New Roman"/>
          <w:sz w:val="28"/>
          <w:szCs w:val="28"/>
        </w:rPr>
        <w:t xml:space="preserve"> (далее - ОЭАиП) следующие документы:</w:t>
      </w:r>
      <w:proofErr w:type="gramEnd"/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1) копии счетов-фактур на поставку топливно-энергетических ресурсов;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2) копии платежных документов, подтверждающих осуществление расчетов с поставщиками топливно-энергетических ресурсов;</w:t>
      </w:r>
    </w:p>
    <w:p w:rsidR="005F20BF" w:rsidRPr="005F20BF" w:rsidRDefault="005F20BF" w:rsidP="005F20B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 xml:space="preserve">3) копии актов приема-передачи, подтверждающих приемку топливно-энергетических ресурсов </w:t>
      </w:r>
      <w:proofErr w:type="spellStart"/>
      <w:r w:rsidRPr="005F20BF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5F20BF">
        <w:rPr>
          <w:rFonts w:ascii="Times New Roman" w:hAnsi="Times New Roman"/>
          <w:sz w:val="28"/>
          <w:szCs w:val="28"/>
        </w:rPr>
        <w:t xml:space="preserve"> организациями от поставщиков топливно-энергетических ресурсов;</w:t>
      </w:r>
    </w:p>
    <w:p w:rsidR="005F20BF" w:rsidRPr="005F20BF" w:rsidRDefault="005F20BF" w:rsidP="005F20B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4) отчет</w:t>
      </w:r>
      <w:r w:rsidRPr="005F20BF">
        <w:rPr>
          <w:rFonts w:ascii="Times New Roman" w:hAnsi="Times New Roman"/>
          <w:bCs/>
          <w:sz w:val="28"/>
          <w:szCs w:val="28"/>
        </w:rPr>
        <w:t xml:space="preserve"> затрат теплоснабжающих и </w:t>
      </w:r>
      <w:proofErr w:type="spellStart"/>
      <w:r w:rsidRPr="005F20BF">
        <w:rPr>
          <w:rFonts w:ascii="Times New Roman" w:hAnsi="Times New Roman"/>
          <w:bCs/>
          <w:sz w:val="28"/>
          <w:szCs w:val="28"/>
        </w:rPr>
        <w:t>энергосбытовых</w:t>
      </w:r>
      <w:proofErr w:type="spellEnd"/>
      <w:r w:rsidRPr="005F20BF">
        <w:rPr>
          <w:rFonts w:ascii="Times New Roman" w:hAnsi="Times New Roman"/>
          <w:bCs/>
          <w:sz w:val="28"/>
          <w:szCs w:val="28"/>
        </w:rPr>
        <w:t xml:space="preserve"> организаций, осуществляющих производство и (или) реализацию тепловой и электрической энергии, </w:t>
      </w:r>
      <w:r w:rsidRPr="005F20BF">
        <w:rPr>
          <w:rFonts w:ascii="Times New Roman" w:hAnsi="Times New Roman"/>
          <w:sz w:val="28"/>
          <w:szCs w:val="28"/>
        </w:rPr>
        <w:t>возникших вследствие разницы между фактической стоимостью топлива и стоимостью топлива, учтенной в тарифах на тепловую и электрическую энергию на 2018 год согласно приложению № 2 к настоящему Порядку.</w:t>
      </w:r>
    </w:p>
    <w:p w:rsidR="005F20BF" w:rsidRPr="005F20BF" w:rsidRDefault="005F20BF" w:rsidP="005F20B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5F20BF" w:rsidRPr="005F20BF" w:rsidRDefault="005F20BF" w:rsidP="005F2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Копии документов, представляемых в администрацию района, заверяются в установленном порядке.</w:t>
      </w:r>
    </w:p>
    <w:p w:rsidR="005F20BF" w:rsidRPr="005F20BF" w:rsidRDefault="005F20BF" w:rsidP="005F20B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3.3. ОЭАиП в течение 4 рабочих дней в пределах своей компетенции проводит документальную проверку предоставленных получателем субсидии документов, указанных в пункте 3.2 настоящего Порядка.</w:t>
      </w:r>
    </w:p>
    <w:p w:rsidR="005F20BF" w:rsidRPr="005F20BF" w:rsidRDefault="005F20BF" w:rsidP="005F20B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5F20BF" w:rsidRPr="005F20BF" w:rsidRDefault="005F20BF" w:rsidP="005F20B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5F20BF" w:rsidRPr="005F20BF" w:rsidRDefault="005F20BF" w:rsidP="005F20B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5F20BF" w:rsidRPr="00820B70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F20BF">
        <w:rPr>
          <w:rFonts w:ascii="Times New Roman" w:hAnsi="Times New Roman" w:cs="Times New Roman"/>
          <w:sz w:val="28"/>
          <w:szCs w:val="28"/>
          <w:lang w:eastAsia="ar-SA"/>
        </w:rPr>
        <w:t xml:space="preserve">3.4. Отдел бухгалтерского учета и отчетности администрации района (как получатель средств </w:t>
      </w:r>
      <w:r w:rsidRPr="00820B70">
        <w:rPr>
          <w:rFonts w:ascii="Times New Roman" w:hAnsi="Times New Roman" w:cs="Times New Roman"/>
          <w:sz w:val="28"/>
          <w:szCs w:val="28"/>
          <w:lang w:eastAsia="ar-SA"/>
        </w:rPr>
        <w:t xml:space="preserve">бюджета Северо-Енисейского района) не позднее </w:t>
      </w:r>
      <w:r w:rsidR="00820B70" w:rsidRPr="00820B70">
        <w:rPr>
          <w:rFonts w:ascii="Times New Roman" w:hAnsi="Times New Roman" w:cs="Times New Roman"/>
          <w:sz w:val="28"/>
          <w:szCs w:val="28"/>
          <w:lang w:eastAsia="ar-SA"/>
        </w:rPr>
        <w:t>29</w:t>
      </w:r>
      <w:r w:rsidRPr="00820B7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20B70" w:rsidRPr="00820B70">
        <w:rPr>
          <w:rFonts w:ascii="Times New Roman" w:hAnsi="Times New Roman" w:cs="Times New Roman"/>
          <w:sz w:val="28"/>
          <w:szCs w:val="28"/>
          <w:lang w:eastAsia="ar-SA"/>
        </w:rPr>
        <w:t xml:space="preserve">декабря </w:t>
      </w:r>
      <w:r w:rsidR="00820B70" w:rsidRPr="00820B7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2018 года</w:t>
      </w:r>
      <w:r w:rsidRPr="00820B70">
        <w:rPr>
          <w:rFonts w:ascii="Times New Roman" w:hAnsi="Times New Roman" w:cs="Times New Roman"/>
          <w:sz w:val="28"/>
          <w:szCs w:val="28"/>
          <w:lang w:eastAsia="ar-SA"/>
        </w:rPr>
        <w:t xml:space="preserve"> предоставляет в Финансовое управление администрации Северо-Енисейского района проверенный ОЭАиП и согласованный</w:t>
      </w:r>
      <w:r w:rsidRPr="00820B70">
        <w:rPr>
          <w:rFonts w:ascii="Times New Roman" w:hAnsi="Times New Roman" w:cs="Times New Roman"/>
          <w:sz w:val="28"/>
          <w:szCs w:val="28"/>
        </w:rPr>
        <w:t xml:space="preserve"> заместителем главы района по экономике, анализу и прогнозированию</w:t>
      </w:r>
      <w:r w:rsidRPr="00820B70">
        <w:rPr>
          <w:rFonts w:ascii="Times New Roman" w:hAnsi="Times New Roman" w:cs="Times New Roman"/>
          <w:sz w:val="28"/>
          <w:szCs w:val="28"/>
          <w:lang w:eastAsia="ar-SA"/>
        </w:rPr>
        <w:t xml:space="preserve"> отчет об использовании средств субсидии в порядке и по форм</w:t>
      </w:r>
      <w:r w:rsidR="00820B70" w:rsidRPr="00820B70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820B70" w:rsidRPr="00820B70">
        <w:rPr>
          <w:rFonts w:ascii="Times New Roman" w:hAnsi="Times New Roman" w:cs="Times New Roman"/>
          <w:sz w:val="28"/>
          <w:szCs w:val="28"/>
        </w:rPr>
        <w:t xml:space="preserve"> согласно приложению № 2, являющемуся неотъемлемой частью настоящего </w:t>
      </w:r>
      <w:r w:rsidR="003901A2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820B70" w:rsidRPr="00820B70">
        <w:rPr>
          <w:rFonts w:ascii="Times New Roman" w:hAnsi="Times New Roman" w:cs="Times New Roman"/>
          <w:sz w:val="28"/>
          <w:szCs w:val="28"/>
        </w:rPr>
        <w:t>орядка</w:t>
      </w:r>
      <w:r w:rsidR="00820B70" w:rsidRPr="00820B7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20B70">
        <w:rPr>
          <w:rFonts w:ascii="Times New Roman" w:hAnsi="Times New Roman" w:cs="Times New Roman"/>
          <w:sz w:val="28"/>
          <w:szCs w:val="28"/>
          <w:lang w:eastAsia="ar-SA"/>
        </w:rPr>
        <w:t>3.5. Средства субсидии, полученные</w:t>
      </w:r>
      <w:r w:rsidRPr="005F20BF">
        <w:rPr>
          <w:rFonts w:ascii="Times New Roman" w:hAnsi="Times New Roman" w:cs="Times New Roman"/>
          <w:sz w:val="28"/>
          <w:szCs w:val="28"/>
          <w:lang w:eastAsia="ar-SA"/>
        </w:rPr>
        <w:t xml:space="preserve"> из бюджета Северо-Енисейского района, носят целевой характер и не могут быть использованы на иные цели</w:t>
      </w:r>
      <w:r w:rsidRPr="005F20BF">
        <w:rPr>
          <w:rFonts w:ascii="Times New Roman" w:hAnsi="Times New Roman" w:cs="Times New Roman"/>
          <w:sz w:val="28"/>
          <w:szCs w:val="28"/>
        </w:rPr>
        <w:t>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F20BF">
        <w:rPr>
          <w:rFonts w:ascii="Times New Roman" w:hAnsi="Times New Roman" w:cs="Times New Roman"/>
          <w:sz w:val="28"/>
          <w:szCs w:val="28"/>
          <w:lang w:eastAsia="ar-SA"/>
        </w:rPr>
        <w:t>3.6.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3.7. ГРБС имеет право прекратить предоставление субсидии Получателю субсидии в следующих случаях: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1) непредставления получателем субсидии своевременно документов, предусмотренных в соглашении (договоре) о предоставлении субсидии;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2) банкротства, реорганизации, ликвидации получателя субсидии;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3) наличия обнаруженных ГРБС, органами муниципального финансового контроля, иными уполномоченными органами по итогам проведения соответствующих проверок факта</w:t>
      </w:r>
      <w:proofErr w:type="gramStart"/>
      <w:r w:rsidRPr="005F20BF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5F20BF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F20BF">
        <w:rPr>
          <w:rFonts w:ascii="Times New Roman" w:hAnsi="Times New Roman" w:cs="Times New Roman"/>
          <w:sz w:val="28"/>
          <w:szCs w:val="28"/>
        </w:rPr>
        <w:t>) нарушения получателем субсидии условий, целей и порядка предоставления субсидии, нецелевом использовании субсидий;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4) неисполнения или ненадлежащего исполнения получателем субсидии обязательств, предусмотренных соглашением (договором) о предоставлении субсидии.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3.8. Субсидия подлежит возврату в бюджет Северо-Енисейского района в случае: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ГРБС,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органами по итогам проведения соответствующих проверок факта</w:t>
      </w:r>
      <w:proofErr w:type="gramStart"/>
      <w:r w:rsidRPr="005F20BF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5F20BF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F20BF">
        <w:rPr>
          <w:rFonts w:ascii="Times New Roman" w:hAnsi="Times New Roman" w:cs="Times New Roman"/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BF">
        <w:rPr>
          <w:rFonts w:ascii="Times New Roman" w:hAnsi="Times New Roman" w:cs="Times New Roman"/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5F20BF" w:rsidRPr="005F20BF" w:rsidRDefault="005F20BF" w:rsidP="005F20BF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3.9.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 xml:space="preserve">3.10. </w:t>
      </w:r>
      <w:proofErr w:type="gramStart"/>
      <w:r w:rsidRPr="005F20BF">
        <w:rPr>
          <w:rFonts w:ascii="Times New Roman" w:hAnsi="Times New Roman"/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</w:t>
      </w:r>
      <w:r w:rsidRPr="005F20B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F20BF">
        <w:rPr>
          <w:rFonts w:ascii="Times New Roman" w:hAnsi="Times New Roman"/>
          <w:sz w:val="28"/>
          <w:szCs w:val="28"/>
        </w:rPr>
        <w:t xml:space="preserve">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</w:t>
      </w:r>
      <w:r w:rsidRPr="005F20BF">
        <w:rPr>
          <w:rFonts w:ascii="Times New Roman" w:hAnsi="Times New Roman"/>
          <w:sz w:val="28"/>
          <w:szCs w:val="28"/>
        </w:rPr>
        <w:lastRenderedPageBreak/>
        <w:t>подлежит возврату в бюджет Северо-Енисейского района в соответствии с настоящим Порядком.</w:t>
      </w:r>
      <w:proofErr w:type="gramEnd"/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3.11.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5F20BF" w:rsidRPr="005F20BF" w:rsidRDefault="005F20BF" w:rsidP="005F2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5F20BF" w:rsidRPr="005F20BF" w:rsidRDefault="005F20BF" w:rsidP="005F20BF">
      <w:pPr>
        <w:pStyle w:val="2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20BF">
        <w:rPr>
          <w:rFonts w:ascii="Times New Roman" w:hAnsi="Times New Roman"/>
          <w:bCs/>
          <w:sz w:val="28"/>
          <w:szCs w:val="28"/>
        </w:rPr>
        <w:t xml:space="preserve">3.12.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 в полном объеме на лицевой счет </w:t>
      </w:r>
      <w:r w:rsidRPr="005F20BF">
        <w:rPr>
          <w:rFonts w:ascii="Times New Roman" w:hAnsi="Times New Roman"/>
          <w:sz w:val="28"/>
          <w:szCs w:val="28"/>
        </w:rPr>
        <w:t>ГРБС.</w:t>
      </w:r>
    </w:p>
    <w:p w:rsidR="005F20BF" w:rsidRPr="005F20BF" w:rsidRDefault="005F20BF" w:rsidP="005F20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3.13.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</w:p>
    <w:p w:rsidR="005F20BF" w:rsidRPr="005F20BF" w:rsidRDefault="005F20BF" w:rsidP="005F20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0BF">
        <w:rPr>
          <w:rFonts w:ascii="Times New Roman" w:hAnsi="Times New Roman" w:cs="Times New Roman"/>
          <w:bCs/>
          <w:sz w:val="28"/>
          <w:szCs w:val="28"/>
        </w:rPr>
        <w:t xml:space="preserve">3.14. </w:t>
      </w:r>
      <w:proofErr w:type="gramStart"/>
      <w:r w:rsidRPr="005F20BF">
        <w:rPr>
          <w:rFonts w:ascii="Times New Roman" w:hAnsi="Times New Roman" w:cs="Times New Roman"/>
          <w:bCs/>
          <w:sz w:val="28"/>
          <w:szCs w:val="28"/>
        </w:rPr>
        <w:t xml:space="preserve">В случае </w:t>
      </w:r>
      <w:proofErr w:type="spellStart"/>
      <w:r w:rsidRPr="005F20BF">
        <w:rPr>
          <w:rFonts w:ascii="Times New Roman" w:hAnsi="Times New Roman" w:cs="Times New Roman"/>
          <w:bCs/>
          <w:sz w:val="28"/>
          <w:szCs w:val="28"/>
        </w:rPr>
        <w:t>непоступления</w:t>
      </w:r>
      <w:proofErr w:type="spellEnd"/>
      <w:r w:rsidRPr="005F20BF">
        <w:rPr>
          <w:rFonts w:ascii="Times New Roman" w:hAnsi="Times New Roman" w:cs="Times New Roman"/>
          <w:bCs/>
          <w:sz w:val="28"/>
          <w:szCs w:val="28"/>
        </w:rPr>
        <w:t xml:space="preserve"> средств субсидии от Получателя субсидии на лицевой счет </w:t>
      </w:r>
      <w:r w:rsidRPr="005F20BF">
        <w:rPr>
          <w:rFonts w:ascii="Times New Roman" w:hAnsi="Times New Roman" w:cs="Times New Roman"/>
          <w:sz w:val="28"/>
          <w:szCs w:val="28"/>
        </w:rPr>
        <w:t>ГРБС</w:t>
      </w:r>
      <w:r w:rsidRPr="005F20BF">
        <w:rPr>
          <w:rFonts w:ascii="Times New Roman" w:hAnsi="Times New Roman" w:cs="Times New Roman"/>
          <w:bCs/>
          <w:sz w:val="28"/>
          <w:szCs w:val="28"/>
        </w:rPr>
        <w:t xml:space="preserve"> или отказа Получателя субсидии</w:t>
      </w:r>
      <w:r w:rsidRPr="005F20BF">
        <w:rPr>
          <w:rFonts w:ascii="Times New Roman" w:hAnsi="Times New Roman" w:cs="Times New Roman"/>
          <w:sz w:val="28"/>
          <w:szCs w:val="28"/>
        </w:rPr>
        <w:t xml:space="preserve"> от добровольного возврата денежных средств субсидии главный распорядитель средств бюджета Северо-Енисейского района в лице экспертно-правового отдела администрации района в </w:t>
      </w:r>
      <w:r w:rsidRPr="005F20BF">
        <w:rPr>
          <w:rFonts w:ascii="Times New Roman" w:hAnsi="Times New Roman" w:cs="Times New Roman"/>
          <w:bCs/>
          <w:sz w:val="28"/>
          <w:szCs w:val="28"/>
        </w:rPr>
        <w:t>течение пятнадцати рабочих дней со дня истечения срока, установленного в распоряжении</w:t>
      </w:r>
      <w:r w:rsidRPr="005F20B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F20BF">
        <w:rPr>
          <w:rFonts w:ascii="Times New Roman" w:hAnsi="Times New Roman" w:cs="Times New Roman"/>
          <w:bCs/>
          <w:sz w:val="28"/>
          <w:szCs w:val="28"/>
        </w:rPr>
        <w:t>администрации района о прекращении выплаты субсидии и (или) о возврате субсидии в бюджет Северо-Енисейского</w:t>
      </w:r>
      <w:proofErr w:type="gramEnd"/>
      <w:r w:rsidRPr="005F20BF">
        <w:rPr>
          <w:rFonts w:ascii="Times New Roman" w:hAnsi="Times New Roman" w:cs="Times New Roman"/>
          <w:bCs/>
          <w:sz w:val="28"/>
          <w:szCs w:val="28"/>
        </w:rPr>
        <w:t xml:space="preserve"> района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 xml:space="preserve">3.15. В случае </w:t>
      </w:r>
      <w:proofErr w:type="spellStart"/>
      <w:r w:rsidRPr="005F20BF">
        <w:rPr>
          <w:rFonts w:ascii="Times New Roman" w:hAnsi="Times New Roman"/>
          <w:sz w:val="28"/>
          <w:szCs w:val="28"/>
        </w:rPr>
        <w:t>неосвоения</w:t>
      </w:r>
      <w:proofErr w:type="spellEnd"/>
      <w:r w:rsidRPr="005F20BF">
        <w:rPr>
          <w:rFonts w:ascii="Times New Roman" w:hAnsi="Times New Roman"/>
          <w:sz w:val="28"/>
          <w:szCs w:val="28"/>
        </w:rPr>
        <w:t xml:space="preserve"> в полном объеме средств субсидии в текущем финансовом году, сумма неосвоенных средств субсидии подлежит возврату в бюджет Северо-Енисейского района в срок до 25 декабря текущего финансового года.</w:t>
      </w:r>
    </w:p>
    <w:p w:rsidR="005F20BF" w:rsidRPr="005F20BF" w:rsidRDefault="005F20BF" w:rsidP="005F20B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3.16. Ответственность за целевое, 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3.17. 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 xml:space="preserve">3.18. </w:t>
      </w:r>
      <w:proofErr w:type="gramStart"/>
      <w:r w:rsidRPr="005F20B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F20BF">
        <w:rPr>
          <w:rFonts w:ascii="Times New Roman" w:hAnsi="Times New Roman"/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5F20BF" w:rsidRPr="005F20BF" w:rsidRDefault="005F20BF" w:rsidP="005F20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 xml:space="preserve">3.19. </w:t>
      </w:r>
      <w:proofErr w:type="gramStart"/>
      <w:r w:rsidRPr="005F20B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F20BF">
        <w:rPr>
          <w:rFonts w:ascii="Times New Roman" w:hAnsi="Times New Roman"/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5F20BF" w:rsidRPr="005F20BF" w:rsidRDefault="005F20BF" w:rsidP="005F2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5F20BF" w:rsidRPr="005F20BF" w:rsidSect="00DB5101">
          <w:pgSz w:w="11906" w:h="16838"/>
          <w:pgMar w:top="567" w:right="567" w:bottom="1134" w:left="1418" w:header="709" w:footer="709" w:gutter="0"/>
          <w:cols w:space="708"/>
          <w:docGrid w:linePitch="360"/>
        </w:sectPr>
      </w:pPr>
    </w:p>
    <w:p w:rsidR="005F20BF" w:rsidRPr="005F20BF" w:rsidRDefault="005F20BF" w:rsidP="005F20B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F20BF">
        <w:rPr>
          <w:rFonts w:ascii="Times New Roman" w:hAnsi="Times New Roman"/>
          <w:sz w:val="20"/>
          <w:szCs w:val="20"/>
        </w:rPr>
        <w:lastRenderedPageBreak/>
        <w:t>Приложение №1</w:t>
      </w:r>
    </w:p>
    <w:p w:rsidR="005F20BF" w:rsidRPr="005F20BF" w:rsidRDefault="005F20BF" w:rsidP="005F20B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F20BF">
        <w:rPr>
          <w:rFonts w:ascii="Times New Roman" w:hAnsi="Times New Roman"/>
          <w:sz w:val="20"/>
          <w:szCs w:val="20"/>
        </w:rPr>
        <w:t>к приложению №4 подпрограммы</w:t>
      </w:r>
    </w:p>
    <w:p w:rsidR="005F20BF" w:rsidRPr="005F20BF" w:rsidRDefault="005F20BF" w:rsidP="005F20B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F20BF">
        <w:rPr>
          <w:rFonts w:ascii="Times New Roman" w:hAnsi="Times New Roman"/>
          <w:sz w:val="20"/>
          <w:szCs w:val="20"/>
        </w:rPr>
        <w:t xml:space="preserve">«Доступность </w:t>
      </w:r>
      <w:proofErr w:type="gramStart"/>
      <w:r w:rsidRPr="005F20BF">
        <w:rPr>
          <w:rFonts w:ascii="Times New Roman" w:hAnsi="Times New Roman"/>
          <w:sz w:val="20"/>
          <w:szCs w:val="20"/>
        </w:rPr>
        <w:t>коммунально-бытовых</w:t>
      </w:r>
      <w:proofErr w:type="gramEnd"/>
    </w:p>
    <w:p w:rsidR="005F20BF" w:rsidRPr="005F20BF" w:rsidRDefault="005F20BF" w:rsidP="005F20B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F20BF">
        <w:rPr>
          <w:rFonts w:ascii="Times New Roman" w:hAnsi="Times New Roman"/>
          <w:sz w:val="20"/>
          <w:szCs w:val="20"/>
        </w:rPr>
        <w:t>услуг для населения Северо-Енисейского района»</w:t>
      </w:r>
    </w:p>
    <w:p w:rsidR="005F20BF" w:rsidRPr="005F20BF" w:rsidRDefault="005F20BF" w:rsidP="005F20BF">
      <w:pPr>
        <w:rPr>
          <w:rFonts w:ascii="Times New Roman" w:hAnsi="Times New Roman"/>
          <w:sz w:val="20"/>
          <w:szCs w:val="20"/>
        </w:rPr>
      </w:pPr>
    </w:p>
    <w:p w:rsidR="005F20BF" w:rsidRPr="005F20BF" w:rsidRDefault="005F20BF" w:rsidP="005F20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5F20BF">
        <w:rPr>
          <w:rFonts w:ascii="Times New Roman" w:hAnsi="Times New Roman"/>
          <w:sz w:val="16"/>
          <w:szCs w:val="16"/>
        </w:rPr>
        <w:t xml:space="preserve">Расчет средств субсидии </w:t>
      </w:r>
      <w:r w:rsidRPr="005F20BF">
        <w:rPr>
          <w:rFonts w:ascii="Times New Roman" w:hAnsi="Times New Roman"/>
          <w:bCs/>
          <w:sz w:val="16"/>
          <w:szCs w:val="16"/>
        </w:rPr>
        <w:t xml:space="preserve">на финансирование затрат теплоснабжающих и </w:t>
      </w:r>
      <w:proofErr w:type="spellStart"/>
      <w:r w:rsidRPr="005F20BF">
        <w:rPr>
          <w:rFonts w:ascii="Times New Roman" w:hAnsi="Times New Roman"/>
          <w:bCs/>
          <w:sz w:val="16"/>
          <w:szCs w:val="16"/>
        </w:rPr>
        <w:t>энергосбытовых</w:t>
      </w:r>
      <w:proofErr w:type="spellEnd"/>
      <w:r w:rsidRPr="005F20BF">
        <w:rPr>
          <w:rFonts w:ascii="Times New Roman" w:hAnsi="Times New Roman"/>
          <w:bCs/>
          <w:sz w:val="16"/>
          <w:szCs w:val="16"/>
        </w:rPr>
        <w:t xml:space="preserve"> организаций, осуществляющих производство и (или) реализацию тепловой и электрической энергии, </w:t>
      </w:r>
      <w:r w:rsidRPr="005F20BF">
        <w:rPr>
          <w:rFonts w:ascii="Times New Roman" w:hAnsi="Times New Roman"/>
          <w:sz w:val="16"/>
          <w:szCs w:val="16"/>
        </w:rPr>
        <w:t xml:space="preserve">возникших вследствие разницы между фактической стоимостью топлива и стоимостью топлива, учтенной в тарифах на тепловую и электрическую энергию на 2018 год </w:t>
      </w:r>
    </w:p>
    <w:tbl>
      <w:tblPr>
        <w:tblW w:w="5273" w:type="pct"/>
        <w:tblInd w:w="-601" w:type="dxa"/>
        <w:tblLayout w:type="fixed"/>
        <w:tblLook w:val="00A0"/>
      </w:tblPr>
      <w:tblGrid>
        <w:gridCol w:w="546"/>
        <w:gridCol w:w="31"/>
        <w:gridCol w:w="1107"/>
        <w:gridCol w:w="28"/>
        <w:gridCol w:w="530"/>
        <w:gridCol w:w="695"/>
        <w:gridCol w:w="184"/>
        <w:gridCol w:w="708"/>
        <w:gridCol w:w="424"/>
        <w:gridCol w:w="421"/>
        <w:gridCol w:w="633"/>
        <w:gridCol w:w="59"/>
        <w:gridCol w:w="312"/>
        <w:gridCol w:w="932"/>
        <w:gridCol w:w="589"/>
        <w:gridCol w:w="409"/>
        <w:gridCol w:w="465"/>
        <w:gridCol w:w="468"/>
        <w:gridCol w:w="309"/>
        <w:gridCol w:w="692"/>
        <w:gridCol w:w="334"/>
        <w:gridCol w:w="599"/>
        <w:gridCol w:w="621"/>
        <w:gridCol w:w="396"/>
        <w:gridCol w:w="720"/>
        <w:gridCol w:w="764"/>
        <w:gridCol w:w="471"/>
        <w:gridCol w:w="1254"/>
        <w:gridCol w:w="892"/>
      </w:tblGrid>
      <w:tr w:rsidR="005F20BF" w:rsidRPr="005F20BF" w:rsidTr="005F20BF">
        <w:trPr>
          <w:trHeight w:val="474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ind w:right="-9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gramEnd"/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ind w:left="-123" w:right="-11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теплоснабжающей/ </w:t>
            </w:r>
            <w:proofErr w:type="spellStart"/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энергосбытовой</w:t>
            </w:r>
            <w:proofErr w:type="spellEnd"/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организации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F20BF" w:rsidRPr="005F20BF" w:rsidRDefault="005F20BF" w:rsidP="005D4459">
            <w:pPr>
              <w:ind w:left="-105" w:right="-10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Вид услуги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ind w:left="-108" w:right="-5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организации-поставщика энергоресурсов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ind w:left="-157" w:right="-15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дата, № контракта</w:t>
            </w:r>
          </w:p>
        </w:tc>
        <w:tc>
          <w:tcPr>
            <w:tcW w:w="2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Условия оплаты: предоплата (размер), </w:t>
            </w: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100% оплаты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ind w:left="-167" w:right="-10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Населенный пункт</w:t>
            </w:r>
          </w:p>
        </w:tc>
        <w:tc>
          <w:tcPr>
            <w:tcW w:w="1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ind w:left="-155" w:right="-6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Вид ТЭР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Объем ТЭР, учтенный при формировании тарифов на 2018 год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Объем ТЭР, фактически сложившийся по итогам заключенных контрактов на поставку ТЭР для производства тепловой (электрической) энергии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Цена </w:t>
            </w: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 тонны ТЭР, учтенная при формировании тарифов на 2018 год (без учета НДС)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Цена 1 тонны ТЭР, фактически сложившийся по итогам заключенных контрактов на поставку ТЭР для производства тепловой (электрической) энергии (без учета НДС)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Затраты на ТЭР, учтенные при формировании тарифов на 2018 год (с НДС)</w:t>
            </w: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гр.9*гр.11* 1,18 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0BF" w:rsidRPr="005F20BF" w:rsidRDefault="005F20BF" w:rsidP="005D4459">
            <w:pPr>
              <w:ind w:left="-65" w:right="-13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Затраты ТЭР, фактически сложившиеся по итогам заключенных контрактов на поставку ТЭР для производства тепловой (электрической) энергии </w:t>
            </w: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(с НДС)</w:t>
            </w:r>
          </w:p>
          <w:p w:rsidR="005F20BF" w:rsidRPr="005F20BF" w:rsidRDefault="005F20BF" w:rsidP="005D4459">
            <w:pPr>
              <w:ind w:left="-1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гр.10*гр.12*1,18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Дефицит средств за счет разницы в цене в пределах объемов, учтенных при формировании тарифов (с НДС)</w:t>
            </w: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(Подтвержденный объем  средств, рассчитанный в соответствии с предоставленными контрактами (договорами, счетами-фактурами, спецификациями) тыс</w:t>
            </w:r>
            <w:proofErr w:type="gramStart"/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.р</w:t>
            </w:r>
            <w:proofErr w:type="gramEnd"/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уб. (с НДС)</w:t>
            </w: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(гр.12-гр.11)*гр.9*1,18 или (гр.12-гр.11)*гр.10*1,18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F20BF" w:rsidRPr="005F20BF" w:rsidRDefault="005F20BF" w:rsidP="005D4459">
            <w:pPr>
              <w:ind w:right="-10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Снижение за счет разницы в объемах ТЭР, между фактическими объемами ТЭР по итогам заключенных контрактов и объемами  ТЭР,  учтенными при формировании тарифов    </w:t>
            </w: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с учетом цены учтенной в тарифе (с НДС) </w:t>
            </w: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(Учитывается в расчете  при </w:t>
            </w:r>
            <w:proofErr w:type="gramStart"/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условии</w:t>
            </w:r>
            <w:proofErr w:type="gramEnd"/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если фактические объемы топлива  ниже объемов топлива, учтенных в тарифах)</w:t>
            </w: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(гр.10-гр.9)*гр.11*1,18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0BF" w:rsidRPr="005F20BF" w:rsidRDefault="005F20BF" w:rsidP="005D4459">
            <w:pPr>
              <w:spacing w:after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Разница в стоимости ТЭР</w:t>
            </w:r>
            <w:proofErr w:type="gramStart"/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(+; -)</w:t>
            </w:r>
            <w:proofErr w:type="gramEnd"/>
          </w:p>
          <w:p w:rsidR="005F20BF" w:rsidRPr="005F20BF" w:rsidRDefault="005F20BF" w:rsidP="005D4459">
            <w:pPr>
              <w:spacing w:after="2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гр.15+гр.16</w:t>
            </w:r>
          </w:p>
        </w:tc>
      </w:tr>
      <w:tr w:rsidR="005F20BF" w:rsidRPr="005F20BF" w:rsidTr="005D4459">
        <w:trPr>
          <w:trHeight w:val="206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тонн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тонн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ind w:left="-75" w:right="-1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руб. за 1 тонну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ind w:right="-18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руб. за 1 тонну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</w:tr>
      <w:tr w:rsidR="005F20BF" w:rsidRPr="005F20BF" w:rsidTr="005F20BF">
        <w:trPr>
          <w:trHeight w:val="228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</w:tr>
      <w:tr w:rsidR="005F20BF" w:rsidRPr="005F20BF" w:rsidTr="005F20BF">
        <w:trPr>
          <w:trHeight w:val="221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организации (теплоснабжающей, </w:t>
            </w:r>
            <w:proofErr w:type="spellStart"/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энергосбытовой</w:t>
            </w:r>
            <w:proofErr w:type="spellEnd"/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5F20BF" w:rsidRPr="005F20BF" w:rsidTr="005D4459">
        <w:trPr>
          <w:trHeight w:val="165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0BF" w:rsidRPr="005F20BF" w:rsidRDefault="005F20BF" w:rsidP="005D4459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F20BF" w:rsidRPr="005F20BF" w:rsidTr="005D4459">
        <w:trPr>
          <w:trHeight w:val="216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0BF" w:rsidRPr="005F20BF" w:rsidRDefault="005F20BF" w:rsidP="005D4459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 целом по организации: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F20BF" w:rsidRPr="005F20BF" w:rsidTr="005D4459">
        <w:trPr>
          <w:gridBefore w:val="2"/>
          <w:wBefore w:w="185" w:type="pct"/>
          <w:trHeight w:val="534"/>
        </w:trPr>
        <w:tc>
          <w:tcPr>
            <w:tcW w:w="75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sz w:val="16"/>
                <w:szCs w:val="16"/>
              </w:rPr>
              <w:t>Руководитель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color w:val="000000"/>
                <w:sz w:val="16"/>
                <w:szCs w:val="16"/>
              </w:rPr>
              <w:t>Ф.И.О.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F20BF" w:rsidRPr="005F20BF" w:rsidTr="005D4459">
        <w:trPr>
          <w:gridBefore w:val="2"/>
          <w:wBefore w:w="185" w:type="pct"/>
          <w:trHeight w:val="315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sz w:val="16"/>
                <w:szCs w:val="16"/>
              </w:rPr>
              <w:t xml:space="preserve">  (МП)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5F20BF" w:rsidRPr="005F20BF" w:rsidTr="005F20BF">
        <w:trPr>
          <w:gridBefore w:val="2"/>
          <w:wBefore w:w="185" w:type="pct"/>
          <w:trHeight w:val="432"/>
        </w:trPr>
        <w:tc>
          <w:tcPr>
            <w:tcW w:w="75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F20BF">
            <w:pPr>
              <w:rPr>
                <w:rFonts w:ascii="Times New Roman" w:hAnsi="Times New Roman"/>
                <w:sz w:val="16"/>
                <w:szCs w:val="16"/>
              </w:rPr>
            </w:pPr>
            <w:r w:rsidRPr="005F20BF">
              <w:rPr>
                <w:rFonts w:ascii="Times New Roman" w:hAnsi="Times New Roman"/>
                <w:sz w:val="16"/>
                <w:szCs w:val="16"/>
              </w:rPr>
              <w:t>Ф.И.О. исполнителя,  телефона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0BF" w:rsidRPr="005F20BF" w:rsidRDefault="005F20BF" w:rsidP="005D445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8" w:type="pct"/>
            <w:gridSpan w:val="2"/>
            <w:noWrap/>
          </w:tcPr>
          <w:p w:rsidR="005F20BF" w:rsidRPr="005F20BF" w:rsidRDefault="005F20BF" w:rsidP="005D44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F20BF" w:rsidRPr="00C84C39" w:rsidRDefault="005F20BF" w:rsidP="005F20BF">
      <w:pPr>
        <w:widowControl w:val="0"/>
        <w:autoSpaceDE w:val="0"/>
        <w:autoSpaceDN w:val="0"/>
        <w:adjustRightInd w:val="0"/>
        <w:ind w:left="6521"/>
        <w:rPr>
          <w:sz w:val="28"/>
          <w:szCs w:val="28"/>
        </w:rPr>
        <w:sectPr w:rsidR="005F20BF" w:rsidRPr="00C84C39" w:rsidSect="005F20BF">
          <w:pgSz w:w="16838" w:h="11906" w:orient="landscape"/>
          <w:pgMar w:top="426" w:right="1134" w:bottom="0" w:left="1134" w:header="0" w:footer="0" w:gutter="0"/>
          <w:cols w:space="720"/>
        </w:sectPr>
      </w:pPr>
    </w:p>
    <w:p w:rsidR="005F20BF" w:rsidRPr="005F20BF" w:rsidRDefault="005F20BF" w:rsidP="005F20B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F20BF">
        <w:rPr>
          <w:rFonts w:ascii="Times New Roman" w:hAnsi="Times New Roman"/>
          <w:sz w:val="20"/>
          <w:szCs w:val="20"/>
        </w:rPr>
        <w:lastRenderedPageBreak/>
        <w:t>Приложение №2</w:t>
      </w:r>
    </w:p>
    <w:p w:rsidR="005F20BF" w:rsidRPr="005F20BF" w:rsidRDefault="005F20BF" w:rsidP="005F20B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F20BF">
        <w:rPr>
          <w:rFonts w:ascii="Times New Roman" w:hAnsi="Times New Roman"/>
          <w:sz w:val="20"/>
          <w:szCs w:val="20"/>
        </w:rPr>
        <w:t>к приложению №4 подпрограммы</w:t>
      </w:r>
    </w:p>
    <w:p w:rsidR="005F20BF" w:rsidRPr="005F20BF" w:rsidRDefault="005F20BF" w:rsidP="005F20B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F20BF">
        <w:rPr>
          <w:rFonts w:ascii="Times New Roman" w:hAnsi="Times New Roman"/>
          <w:sz w:val="20"/>
          <w:szCs w:val="20"/>
        </w:rPr>
        <w:t xml:space="preserve">«Доступность </w:t>
      </w:r>
      <w:proofErr w:type="gramStart"/>
      <w:r w:rsidRPr="005F20BF">
        <w:rPr>
          <w:rFonts w:ascii="Times New Roman" w:hAnsi="Times New Roman"/>
          <w:sz w:val="20"/>
          <w:szCs w:val="20"/>
        </w:rPr>
        <w:t>коммунально-бытовых</w:t>
      </w:r>
      <w:proofErr w:type="gramEnd"/>
    </w:p>
    <w:p w:rsidR="005F20BF" w:rsidRPr="005F20BF" w:rsidRDefault="005F20BF" w:rsidP="005F20B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F20BF">
        <w:rPr>
          <w:rFonts w:ascii="Times New Roman" w:hAnsi="Times New Roman"/>
          <w:sz w:val="20"/>
          <w:szCs w:val="20"/>
        </w:rPr>
        <w:t>услуг для населения Северо-Енисейского района»</w:t>
      </w:r>
    </w:p>
    <w:p w:rsidR="005F20BF" w:rsidRPr="005F20BF" w:rsidRDefault="005F20BF" w:rsidP="005F20BF">
      <w:pPr>
        <w:jc w:val="right"/>
        <w:rPr>
          <w:rFonts w:ascii="Times New Roman" w:hAnsi="Times New Roman"/>
          <w:sz w:val="20"/>
          <w:szCs w:val="20"/>
        </w:rPr>
      </w:pPr>
    </w:p>
    <w:p w:rsidR="005F20BF" w:rsidRPr="005F20BF" w:rsidRDefault="005F20BF" w:rsidP="005F20B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5F20BF">
        <w:rPr>
          <w:rFonts w:ascii="Times New Roman" w:hAnsi="Times New Roman"/>
          <w:sz w:val="26"/>
          <w:szCs w:val="26"/>
        </w:rPr>
        <w:t>Отчет</w:t>
      </w:r>
      <w:r w:rsidRPr="005F20BF">
        <w:rPr>
          <w:rFonts w:ascii="Times New Roman" w:hAnsi="Times New Roman"/>
          <w:bCs/>
          <w:sz w:val="26"/>
          <w:szCs w:val="26"/>
        </w:rPr>
        <w:t xml:space="preserve"> затрат теплоснабжающих и </w:t>
      </w:r>
      <w:proofErr w:type="spellStart"/>
      <w:r w:rsidRPr="005F20BF">
        <w:rPr>
          <w:rFonts w:ascii="Times New Roman" w:hAnsi="Times New Roman"/>
          <w:bCs/>
          <w:sz w:val="26"/>
          <w:szCs w:val="26"/>
        </w:rPr>
        <w:t>энергосбытовых</w:t>
      </w:r>
      <w:proofErr w:type="spellEnd"/>
      <w:r w:rsidRPr="005F20BF">
        <w:rPr>
          <w:rFonts w:ascii="Times New Roman" w:hAnsi="Times New Roman"/>
          <w:bCs/>
          <w:sz w:val="26"/>
          <w:szCs w:val="26"/>
        </w:rPr>
        <w:t xml:space="preserve"> организаций, осуществляющих производство и (или) реализацию тепловой и электрической энергии, </w:t>
      </w:r>
      <w:r w:rsidRPr="005F20BF">
        <w:rPr>
          <w:rFonts w:ascii="Times New Roman" w:hAnsi="Times New Roman"/>
          <w:sz w:val="26"/>
          <w:szCs w:val="26"/>
        </w:rPr>
        <w:t>возникших вследствие разницы между фактической стоимостью топлива и стоимостью топлива, учтенной в тарифах на тепловую и электрическую энергию на 2018 год</w:t>
      </w:r>
    </w:p>
    <w:p w:rsidR="005F20BF" w:rsidRPr="005F20BF" w:rsidRDefault="005F20BF" w:rsidP="005F20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F20BF">
        <w:rPr>
          <w:rFonts w:ascii="Times New Roman" w:hAnsi="Times New Roman"/>
          <w:sz w:val="28"/>
          <w:szCs w:val="28"/>
        </w:rPr>
        <w:t>________________________________________</w:t>
      </w:r>
    </w:p>
    <w:p w:rsidR="005F20BF" w:rsidRPr="005F20BF" w:rsidRDefault="005F20BF" w:rsidP="005F20BF">
      <w:pPr>
        <w:spacing w:after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F20BF">
        <w:rPr>
          <w:rFonts w:ascii="Times New Roman" w:hAnsi="Times New Roman"/>
          <w:sz w:val="20"/>
          <w:szCs w:val="20"/>
        </w:rPr>
        <w:t>(</w:t>
      </w:r>
      <w:r w:rsidRPr="00862643">
        <w:rPr>
          <w:rFonts w:ascii="Times New Roman" w:hAnsi="Times New Roman"/>
          <w:bCs/>
          <w:lang w:eastAsia="ru-RU"/>
        </w:rPr>
        <w:t xml:space="preserve">Наименование организации (теплоснабжающей, </w:t>
      </w:r>
      <w:proofErr w:type="spellStart"/>
      <w:r w:rsidRPr="00862643">
        <w:rPr>
          <w:rFonts w:ascii="Times New Roman" w:hAnsi="Times New Roman"/>
          <w:bCs/>
          <w:lang w:eastAsia="ru-RU"/>
        </w:rPr>
        <w:t>энергосбытовой</w:t>
      </w:r>
      <w:proofErr w:type="spellEnd"/>
      <w:r w:rsidRPr="00862643">
        <w:rPr>
          <w:rFonts w:ascii="Times New Roman" w:hAnsi="Times New Roman"/>
          <w:bCs/>
          <w:lang w:eastAsia="ru-RU"/>
        </w:rPr>
        <w:t>)</w:t>
      </w:r>
      <w:proofErr w:type="gramEnd"/>
    </w:p>
    <w:tbl>
      <w:tblPr>
        <w:tblW w:w="15750" w:type="dxa"/>
        <w:tblInd w:w="93" w:type="dxa"/>
        <w:tblLayout w:type="fixed"/>
        <w:tblLook w:val="04A0"/>
      </w:tblPr>
      <w:tblGrid>
        <w:gridCol w:w="528"/>
        <w:gridCol w:w="1750"/>
        <w:gridCol w:w="1565"/>
        <w:gridCol w:w="1842"/>
        <w:gridCol w:w="993"/>
        <w:gridCol w:w="1417"/>
        <w:gridCol w:w="1134"/>
        <w:gridCol w:w="992"/>
        <w:gridCol w:w="1418"/>
        <w:gridCol w:w="992"/>
        <w:gridCol w:w="1559"/>
        <w:gridCol w:w="1560"/>
      </w:tblGrid>
      <w:tr w:rsidR="005F20BF" w:rsidRPr="005F20BF" w:rsidTr="005D4459">
        <w:trPr>
          <w:trHeight w:val="93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 xml:space="preserve">№ </w:t>
            </w:r>
            <w:proofErr w:type="gramStart"/>
            <w:r w:rsidRPr="00862643">
              <w:rPr>
                <w:rFonts w:ascii="Times New Roman" w:hAnsi="Times New Roman"/>
                <w:bCs/>
                <w:lang w:eastAsia="ru-RU"/>
              </w:rPr>
              <w:t>п</w:t>
            </w:r>
            <w:proofErr w:type="gramEnd"/>
            <w:r w:rsidRPr="00862643">
              <w:rPr>
                <w:rFonts w:ascii="Times New Roman" w:hAnsi="Times New Roman"/>
                <w:bCs/>
                <w:lang w:eastAsia="ru-RU"/>
              </w:rPr>
              <w:t>/п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Наименование поставщиков ТЭР</w:t>
            </w:r>
          </w:p>
        </w:tc>
        <w:tc>
          <w:tcPr>
            <w:tcW w:w="79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Фактическая поставка ТЭР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Расчеты с поставщиками за ТЭР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tabs>
                <w:tab w:val="left" w:pos="4801"/>
                <w:tab w:val="left" w:pos="5420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F20BF">
              <w:rPr>
                <w:rFonts w:ascii="Times New Roman" w:hAnsi="Times New Roman"/>
                <w:bCs/>
                <w:lang w:eastAsia="ru-RU"/>
              </w:rPr>
              <w:t>Фактически профинансировано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5F20BF" w:rsidRDefault="005F20BF" w:rsidP="005D4459">
            <w:pPr>
              <w:tabs>
                <w:tab w:val="left" w:pos="4801"/>
                <w:tab w:val="left" w:pos="5420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Сумма недофинансирования</w:t>
            </w:r>
            <w:proofErr w:type="gramStart"/>
            <w:r w:rsidRPr="00862643">
              <w:rPr>
                <w:rFonts w:ascii="Times New Roman" w:hAnsi="Times New Roman"/>
                <w:bCs/>
                <w:lang w:eastAsia="ru-RU"/>
              </w:rPr>
              <w:t xml:space="preserve"> (-), </w:t>
            </w:r>
            <w:proofErr w:type="gramEnd"/>
          </w:p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перефинансирования</w:t>
            </w:r>
            <w:proofErr w:type="gramStart"/>
            <w:r w:rsidRPr="00862643">
              <w:rPr>
                <w:rFonts w:ascii="Times New Roman" w:hAnsi="Times New Roman"/>
                <w:bCs/>
                <w:lang w:eastAsia="ru-RU"/>
              </w:rPr>
              <w:t xml:space="preserve"> (+)  </w:t>
            </w:r>
            <w:proofErr w:type="gramEnd"/>
          </w:p>
        </w:tc>
      </w:tr>
      <w:tr w:rsidR="005F20BF" w:rsidRPr="005F20BF" w:rsidTr="005D4459">
        <w:trPr>
          <w:trHeight w:val="63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№ и дата договора поставки ТЭР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наименование, № и дата документа-основания на оприходование ТЭР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вид ТЭР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сумма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№ и дата платежного документа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 xml:space="preserve">сумма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F" w:rsidRPr="005F20BF" w:rsidRDefault="005F20BF" w:rsidP="005D4459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5F20BF" w:rsidRPr="005F20BF" w:rsidTr="005D4459">
        <w:trPr>
          <w:trHeight w:val="79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(с НДС)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 xml:space="preserve">гр. </w:t>
            </w:r>
            <w:r w:rsidRPr="005F20BF">
              <w:rPr>
                <w:rFonts w:ascii="Times New Roman" w:hAnsi="Times New Roman"/>
                <w:bCs/>
                <w:lang w:eastAsia="ru-RU"/>
              </w:rPr>
              <w:t>6</w:t>
            </w:r>
            <w:r w:rsidRPr="00862643">
              <w:rPr>
                <w:rFonts w:ascii="Times New Roman" w:hAnsi="Times New Roman"/>
                <w:bCs/>
                <w:lang w:eastAsia="ru-RU"/>
              </w:rPr>
              <w:t xml:space="preserve">*гр. </w:t>
            </w:r>
            <w:r w:rsidRPr="005F20BF"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гр.</w:t>
            </w:r>
            <w:r w:rsidRPr="005F20BF">
              <w:rPr>
                <w:rFonts w:ascii="Times New Roman" w:hAnsi="Times New Roman"/>
                <w:bCs/>
                <w:lang w:eastAsia="ru-RU"/>
              </w:rPr>
              <w:t>8</w:t>
            </w:r>
            <w:r w:rsidRPr="00862643">
              <w:rPr>
                <w:rFonts w:ascii="Times New Roman" w:hAnsi="Times New Roman"/>
                <w:bCs/>
                <w:lang w:eastAsia="ru-RU"/>
              </w:rPr>
              <w:t>-гр.1</w:t>
            </w:r>
            <w:r w:rsidRPr="005F20BF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</w:tr>
      <w:tr w:rsidR="005F20BF" w:rsidRPr="005F20BF" w:rsidTr="005F20BF">
        <w:trPr>
          <w:trHeight w:val="367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руб.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62643">
              <w:rPr>
                <w:rFonts w:ascii="Times New Roman" w:hAnsi="Times New Roman"/>
                <w:bCs/>
                <w:lang w:eastAsia="ru-RU"/>
              </w:rPr>
              <w:t>руб.</w:t>
            </w:r>
          </w:p>
        </w:tc>
      </w:tr>
      <w:tr w:rsidR="005F20BF" w:rsidRPr="005F20BF" w:rsidTr="005D4459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F20B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F20B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F20B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F20B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F20B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F20B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F20B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F20B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F20B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F20B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F20BF">
              <w:rPr>
                <w:rFonts w:ascii="Times New Roman" w:hAnsi="Times New Roman"/>
                <w:lang w:eastAsia="ru-RU"/>
              </w:rPr>
              <w:t>11</w:t>
            </w:r>
          </w:p>
        </w:tc>
      </w:tr>
      <w:tr w:rsidR="005F20BF" w:rsidRPr="005F20BF" w:rsidTr="005F20BF">
        <w:trPr>
          <w:trHeight w:val="39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26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26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26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26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26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26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0BF" w:rsidRPr="00862643" w:rsidRDefault="005F20BF" w:rsidP="005D445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26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26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26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0BF" w:rsidRPr="005F20BF" w:rsidRDefault="005F20BF" w:rsidP="005D4459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BF" w:rsidRPr="00862643" w:rsidRDefault="005F20BF" w:rsidP="005D4459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6264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5F20BF" w:rsidRPr="005F20BF" w:rsidRDefault="005F20BF" w:rsidP="005F20BF">
      <w:pPr>
        <w:rPr>
          <w:rFonts w:ascii="Times New Roman" w:hAnsi="Times New Roman"/>
          <w:sz w:val="20"/>
          <w:szCs w:val="20"/>
        </w:rPr>
      </w:pPr>
      <w:r w:rsidRPr="005F20BF">
        <w:rPr>
          <w:rFonts w:ascii="Times New Roman" w:hAnsi="Times New Roman"/>
          <w:sz w:val="20"/>
          <w:szCs w:val="20"/>
        </w:rPr>
        <w:t>Руководитель                                                                                   __________________________________                                                                                    Ф.И.О.</w:t>
      </w:r>
    </w:p>
    <w:p w:rsidR="005F20BF" w:rsidRPr="005F20BF" w:rsidRDefault="005F20BF" w:rsidP="005F20BF">
      <w:pPr>
        <w:rPr>
          <w:rFonts w:ascii="Times New Roman" w:hAnsi="Times New Roman"/>
          <w:sz w:val="20"/>
          <w:szCs w:val="20"/>
        </w:rPr>
      </w:pPr>
      <w:r w:rsidRPr="005F20BF">
        <w:rPr>
          <w:rFonts w:ascii="Times New Roman" w:hAnsi="Times New Roman"/>
          <w:sz w:val="20"/>
          <w:szCs w:val="20"/>
        </w:rPr>
        <w:t xml:space="preserve">  МП                                                                                                                            (подпись)</w:t>
      </w:r>
    </w:p>
    <w:p w:rsidR="005F20BF" w:rsidRPr="005F20BF" w:rsidRDefault="005F20BF" w:rsidP="005F20BF">
      <w:pPr>
        <w:rPr>
          <w:rFonts w:ascii="Times New Roman" w:hAnsi="Times New Roman"/>
          <w:sz w:val="20"/>
          <w:szCs w:val="20"/>
        </w:rPr>
      </w:pPr>
      <w:r w:rsidRPr="005F20BF">
        <w:rPr>
          <w:rFonts w:ascii="Times New Roman" w:hAnsi="Times New Roman"/>
          <w:sz w:val="20"/>
          <w:szCs w:val="20"/>
        </w:rPr>
        <w:t>Главный бухгалтер                                                                           __________________________________                                                                                    Ф.И.О.</w:t>
      </w:r>
    </w:p>
    <w:p w:rsidR="005F20BF" w:rsidRPr="005F20BF" w:rsidRDefault="005F20BF" w:rsidP="005F20BF">
      <w:pPr>
        <w:rPr>
          <w:rFonts w:ascii="Times New Roman" w:hAnsi="Times New Roman"/>
          <w:sz w:val="20"/>
          <w:szCs w:val="20"/>
        </w:rPr>
      </w:pPr>
      <w:r w:rsidRPr="005F20B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(подпись)</w:t>
      </w:r>
    </w:p>
    <w:p w:rsidR="00D92EC3" w:rsidRDefault="005F20BF" w:rsidP="005F20BF">
      <w:pPr>
        <w:spacing w:after="0" w:line="240" w:lineRule="auto"/>
        <w:ind w:left="-284" w:firstLine="284"/>
        <w:rPr>
          <w:rFonts w:ascii="Times New Roman" w:hAnsi="Times New Roman"/>
          <w:sz w:val="20"/>
          <w:szCs w:val="20"/>
        </w:rPr>
      </w:pPr>
      <w:r w:rsidRPr="005F20BF">
        <w:rPr>
          <w:rFonts w:ascii="Times New Roman" w:hAnsi="Times New Roman"/>
          <w:sz w:val="20"/>
          <w:szCs w:val="20"/>
        </w:rPr>
        <w:t>Исполнитель: Ф.И.О</w:t>
      </w:r>
    </w:p>
    <w:p w:rsidR="005F20BF" w:rsidRDefault="005F20BF" w:rsidP="005F20BF">
      <w:pPr>
        <w:spacing w:after="0" w:line="240" w:lineRule="auto"/>
        <w:ind w:left="-284" w:firstLine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Согласовано:</w:t>
      </w:r>
    </w:p>
    <w:p w:rsidR="005F20BF" w:rsidRPr="005F20BF" w:rsidRDefault="005F20BF" w:rsidP="005F20BF">
      <w:pPr>
        <w:spacing w:after="0" w:line="240" w:lineRule="auto"/>
        <w:ind w:left="-284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0"/>
          <w:szCs w:val="20"/>
        </w:rPr>
        <w:t>Проверено:</w:t>
      </w:r>
    </w:p>
    <w:sectPr w:rsidR="005F20BF" w:rsidRPr="005F20BF" w:rsidSect="005F20BF">
      <w:pgSz w:w="16838" w:h="11906" w:orient="landscape"/>
      <w:pgMar w:top="850" w:right="42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754"/>
    <w:rsid w:val="000268E2"/>
    <w:rsid w:val="00035937"/>
    <w:rsid w:val="00040D91"/>
    <w:rsid w:val="00047C72"/>
    <w:rsid w:val="0007092E"/>
    <w:rsid w:val="00071DAE"/>
    <w:rsid w:val="00072B74"/>
    <w:rsid w:val="0008363E"/>
    <w:rsid w:val="00085C21"/>
    <w:rsid w:val="000905FA"/>
    <w:rsid w:val="00096366"/>
    <w:rsid w:val="000A380E"/>
    <w:rsid w:val="000C5A7B"/>
    <w:rsid w:val="000F1F71"/>
    <w:rsid w:val="00107CAE"/>
    <w:rsid w:val="00114520"/>
    <w:rsid w:val="001149DB"/>
    <w:rsid w:val="00114B8D"/>
    <w:rsid w:val="00114E2F"/>
    <w:rsid w:val="0012180E"/>
    <w:rsid w:val="00133F3E"/>
    <w:rsid w:val="001365B1"/>
    <w:rsid w:val="00143045"/>
    <w:rsid w:val="00145853"/>
    <w:rsid w:val="001469C9"/>
    <w:rsid w:val="00155A58"/>
    <w:rsid w:val="00180022"/>
    <w:rsid w:val="001842B2"/>
    <w:rsid w:val="001879D6"/>
    <w:rsid w:val="001903E7"/>
    <w:rsid w:val="001917C1"/>
    <w:rsid w:val="0019197E"/>
    <w:rsid w:val="001A13F0"/>
    <w:rsid w:val="001A46F7"/>
    <w:rsid w:val="001A4A10"/>
    <w:rsid w:val="001B4775"/>
    <w:rsid w:val="001D0B93"/>
    <w:rsid w:val="001E492F"/>
    <w:rsid w:val="0020301A"/>
    <w:rsid w:val="002058D7"/>
    <w:rsid w:val="002109D3"/>
    <w:rsid w:val="0021269A"/>
    <w:rsid w:val="00234569"/>
    <w:rsid w:val="00235327"/>
    <w:rsid w:val="00235427"/>
    <w:rsid w:val="0024291D"/>
    <w:rsid w:val="002468E0"/>
    <w:rsid w:val="0025215F"/>
    <w:rsid w:val="00265208"/>
    <w:rsid w:val="0026786E"/>
    <w:rsid w:val="00283720"/>
    <w:rsid w:val="002A314B"/>
    <w:rsid w:val="002C7868"/>
    <w:rsid w:val="002D6EF3"/>
    <w:rsid w:val="002F04EB"/>
    <w:rsid w:val="002F4999"/>
    <w:rsid w:val="00316410"/>
    <w:rsid w:val="0032083B"/>
    <w:rsid w:val="003469C8"/>
    <w:rsid w:val="00347AE8"/>
    <w:rsid w:val="00353EDD"/>
    <w:rsid w:val="00360EAE"/>
    <w:rsid w:val="00380966"/>
    <w:rsid w:val="003901A2"/>
    <w:rsid w:val="003B6633"/>
    <w:rsid w:val="003E0BD5"/>
    <w:rsid w:val="003E6DA5"/>
    <w:rsid w:val="003F3F45"/>
    <w:rsid w:val="003F527A"/>
    <w:rsid w:val="00411425"/>
    <w:rsid w:val="004134D6"/>
    <w:rsid w:val="00430C8D"/>
    <w:rsid w:val="00454F3A"/>
    <w:rsid w:val="00457E34"/>
    <w:rsid w:val="004631C8"/>
    <w:rsid w:val="00476ED6"/>
    <w:rsid w:val="0049719A"/>
    <w:rsid w:val="004A04A9"/>
    <w:rsid w:val="004A39D1"/>
    <w:rsid w:val="004A67CF"/>
    <w:rsid w:val="004B76E2"/>
    <w:rsid w:val="004C24C8"/>
    <w:rsid w:val="004C2902"/>
    <w:rsid w:val="004C4C30"/>
    <w:rsid w:val="004D1C4F"/>
    <w:rsid w:val="004D36D2"/>
    <w:rsid w:val="004D4E92"/>
    <w:rsid w:val="004D74A4"/>
    <w:rsid w:val="004E201C"/>
    <w:rsid w:val="004F39BD"/>
    <w:rsid w:val="005254A3"/>
    <w:rsid w:val="00527071"/>
    <w:rsid w:val="00527F01"/>
    <w:rsid w:val="005522CE"/>
    <w:rsid w:val="00554D87"/>
    <w:rsid w:val="0057267A"/>
    <w:rsid w:val="00575794"/>
    <w:rsid w:val="005905E2"/>
    <w:rsid w:val="005C2EB1"/>
    <w:rsid w:val="005C5365"/>
    <w:rsid w:val="005D3098"/>
    <w:rsid w:val="005F20BF"/>
    <w:rsid w:val="005F624E"/>
    <w:rsid w:val="00602D3F"/>
    <w:rsid w:val="006123CA"/>
    <w:rsid w:val="00624A46"/>
    <w:rsid w:val="00665E45"/>
    <w:rsid w:val="0067307A"/>
    <w:rsid w:val="006916F6"/>
    <w:rsid w:val="00692A8A"/>
    <w:rsid w:val="006A63C4"/>
    <w:rsid w:val="006B406A"/>
    <w:rsid w:val="006B6551"/>
    <w:rsid w:val="006D7675"/>
    <w:rsid w:val="00730CE6"/>
    <w:rsid w:val="00733D8E"/>
    <w:rsid w:val="00734428"/>
    <w:rsid w:val="0074004D"/>
    <w:rsid w:val="007430E5"/>
    <w:rsid w:val="00747401"/>
    <w:rsid w:val="00754DC2"/>
    <w:rsid w:val="00776AE3"/>
    <w:rsid w:val="007A7518"/>
    <w:rsid w:val="007C09A4"/>
    <w:rsid w:val="007C0B75"/>
    <w:rsid w:val="007C476F"/>
    <w:rsid w:val="007E1D8F"/>
    <w:rsid w:val="007E5156"/>
    <w:rsid w:val="007E5868"/>
    <w:rsid w:val="00802B8A"/>
    <w:rsid w:val="00805AD6"/>
    <w:rsid w:val="00820B70"/>
    <w:rsid w:val="008314A3"/>
    <w:rsid w:val="008478FF"/>
    <w:rsid w:val="00853EF1"/>
    <w:rsid w:val="008769C9"/>
    <w:rsid w:val="008C014F"/>
    <w:rsid w:val="008C761C"/>
    <w:rsid w:val="008D697C"/>
    <w:rsid w:val="008F0EB0"/>
    <w:rsid w:val="009049CE"/>
    <w:rsid w:val="009138E3"/>
    <w:rsid w:val="0093494C"/>
    <w:rsid w:val="00935D1A"/>
    <w:rsid w:val="009412B4"/>
    <w:rsid w:val="00942042"/>
    <w:rsid w:val="00943CE9"/>
    <w:rsid w:val="0096636D"/>
    <w:rsid w:val="00973C84"/>
    <w:rsid w:val="00974F7C"/>
    <w:rsid w:val="00975F9C"/>
    <w:rsid w:val="00991496"/>
    <w:rsid w:val="00996B34"/>
    <w:rsid w:val="009B139A"/>
    <w:rsid w:val="009D5135"/>
    <w:rsid w:val="009E257B"/>
    <w:rsid w:val="009F6F57"/>
    <w:rsid w:val="00A14117"/>
    <w:rsid w:val="00A159C0"/>
    <w:rsid w:val="00A22EB4"/>
    <w:rsid w:val="00A275AE"/>
    <w:rsid w:val="00A42677"/>
    <w:rsid w:val="00A651D9"/>
    <w:rsid w:val="00A66D7F"/>
    <w:rsid w:val="00A818AE"/>
    <w:rsid w:val="00A818E3"/>
    <w:rsid w:val="00A839E9"/>
    <w:rsid w:val="00A94B27"/>
    <w:rsid w:val="00AA6F4B"/>
    <w:rsid w:val="00AB268A"/>
    <w:rsid w:val="00AB3071"/>
    <w:rsid w:val="00AC4AE3"/>
    <w:rsid w:val="00AC7A48"/>
    <w:rsid w:val="00AD345A"/>
    <w:rsid w:val="00AE1821"/>
    <w:rsid w:val="00B01E01"/>
    <w:rsid w:val="00B25700"/>
    <w:rsid w:val="00B363B2"/>
    <w:rsid w:val="00B4087B"/>
    <w:rsid w:val="00B76143"/>
    <w:rsid w:val="00B92BB8"/>
    <w:rsid w:val="00B96685"/>
    <w:rsid w:val="00B97AD2"/>
    <w:rsid w:val="00BB0761"/>
    <w:rsid w:val="00BB321D"/>
    <w:rsid w:val="00BB3939"/>
    <w:rsid w:val="00C078FD"/>
    <w:rsid w:val="00C17815"/>
    <w:rsid w:val="00C319E1"/>
    <w:rsid w:val="00C33021"/>
    <w:rsid w:val="00C45F09"/>
    <w:rsid w:val="00C564CD"/>
    <w:rsid w:val="00C7505E"/>
    <w:rsid w:val="00C778BD"/>
    <w:rsid w:val="00C824B0"/>
    <w:rsid w:val="00CA65D5"/>
    <w:rsid w:val="00CA6FFC"/>
    <w:rsid w:val="00CB1F71"/>
    <w:rsid w:val="00CC04C0"/>
    <w:rsid w:val="00CC0CAD"/>
    <w:rsid w:val="00CC1119"/>
    <w:rsid w:val="00CF4953"/>
    <w:rsid w:val="00D4185B"/>
    <w:rsid w:val="00D52B31"/>
    <w:rsid w:val="00D56E27"/>
    <w:rsid w:val="00D6210C"/>
    <w:rsid w:val="00D64E77"/>
    <w:rsid w:val="00D66414"/>
    <w:rsid w:val="00D67770"/>
    <w:rsid w:val="00D72A26"/>
    <w:rsid w:val="00D750E7"/>
    <w:rsid w:val="00D90F47"/>
    <w:rsid w:val="00D92EC3"/>
    <w:rsid w:val="00D93F57"/>
    <w:rsid w:val="00DA4071"/>
    <w:rsid w:val="00DA6186"/>
    <w:rsid w:val="00DA7577"/>
    <w:rsid w:val="00DB3A02"/>
    <w:rsid w:val="00DB4EAE"/>
    <w:rsid w:val="00DB6AF7"/>
    <w:rsid w:val="00DC2FAD"/>
    <w:rsid w:val="00DE2754"/>
    <w:rsid w:val="00DE35AB"/>
    <w:rsid w:val="00DE6F66"/>
    <w:rsid w:val="00DF2ECD"/>
    <w:rsid w:val="00DF696D"/>
    <w:rsid w:val="00E03C31"/>
    <w:rsid w:val="00E062F0"/>
    <w:rsid w:val="00E15B4A"/>
    <w:rsid w:val="00E1701C"/>
    <w:rsid w:val="00E20034"/>
    <w:rsid w:val="00E3466F"/>
    <w:rsid w:val="00E37215"/>
    <w:rsid w:val="00E43B28"/>
    <w:rsid w:val="00E70A59"/>
    <w:rsid w:val="00E7173F"/>
    <w:rsid w:val="00E96CED"/>
    <w:rsid w:val="00EA619C"/>
    <w:rsid w:val="00EC4745"/>
    <w:rsid w:val="00ED7528"/>
    <w:rsid w:val="00EF4BCA"/>
    <w:rsid w:val="00F23776"/>
    <w:rsid w:val="00F27EC1"/>
    <w:rsid w:val="00F314DF"/>
    <w:rsid w:val="00F53425"/>
    <w:rsid w:val="00F559B8"/>
    <w:rsid w:val="00F80CC8"/>
    <w:rsid w:val="00F970EE"/>
    <w:rsid w:val="00FA05E9"/>
    <w:rsid w:val="00FB3C80"/>
    <w:rsid w:val="00FD141F"/>
    <w:rsid w:val="00FE156B"/>
    <w:rsid w:val="00FE4397"/>
    <w:rsid w:val="00FF199E"/>
    <w:rsid w:val="00FF1E3E"/>
    <w:rsid w:val="00FF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5F20B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5F20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5F20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F20B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m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e.ru" TargetMode="External"/><Relationship Id="rId5" Type="http://schemas.openxmlformats.org/officeDocument/2006/relationships/hyperlink" Target="http://www.admse.ru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12</Pages>
  <Words>4867</Words>
  <Characters>27745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263</cp:revision>
  <cp:lastPrinted>2018-12-11T03:18:00Z</cp:lastPrinted>
  <dcterms:created xsi:type="dcterms:W3CDTF">2017-02-03T09:32:00Z</dcterms:created>
  <dcterms:modified xsi:type="dcterms:W3CDTF">2018-12-14T02:41:00Z</dcterms:modified>
</cp:coreProperties>
</file>